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B5FD1" w14:textId="476033D3" w:rsidR="00306EE0" w:rsidRPr="00D52187" w:rsidRDefault="00306EE0" w:rsidP="00306EE0">
      <w:pPr>
        <w:rPr>
          <w:rFonts w:ascii="ＭＳ 明朝" w:eastAsia="ＭＳ 明朝" w:hAnsi="ＭＳ 明朝"/>
          <w:szCs w:val="21"/>
        </w:rPr>
      </w:pPr>
      <w:r w:rsidRPr="004374CA">
        <w:rPr>
          <w:rFonts w:ascii="ＭＳ 明朝" w:eastAsia="ＭＳ 明朝" w:hAnsi="ＭＳ 明朝" w:hint="eastAsia"/>
          <w:szCs w:val="21"/>
        </w:rPr>
        <w:t>細則１－２　津波被害が想定される施設が講じる津波</w:t>
      </w:r>
      <w:r w:rsidRPr="00C814A7">
        <w:rPr>
          <w:rFonts w:ascii="ＭＳ 明朝" w:eastAsia="ＭＳ 明朝" w:hAnsi="ＭＳ 明朝" w:hint="eastAsia"/>
          <w:szCs w:val="21"/>
        </w:rPr>
        <w:t>対策</w:t>
      </w:r>
      <w:r w:rsidR="00C814A7" w:rsidRPr="00D52187">
        <w:rPr>
          <w:rFonts w:ascii="ＭＳ 明朝" w:eastAsia="ＭＳ 明朝" w:hAnsi="ＭＳ 明朝" w:hint="eastAsia"/>
        </w:rPr>
        <w:t>【危規則第60条の２第１項第11号の２関係</w:t>
      </w:r>
      <w:r w:rsidR="00C814A7" w:rsidRPr="00D52187">
        <w:rPr>
          <w:rFonts w:ascii="ＭＳ 明朝" w:eastAsia="ＭＳ 明朝" w:hAnsi="ＭＳ 明朝"/>
        </w:rPr>
        <w:t>】</w:t>
      </w:r>
    </w:p>
    <w:p w14:paraId="76A66CCA" w14:textId="77777777" w:rsidR="00DC5648" w:rsidRPr="004374CA" w:rsidRDefault="00DC5648" w:rsidP="00306EE0">
      <w:pPr>
        <w:rPr>
          <w:rFonts w:ascii="ＭＳ 明朝" w:eastAsia="ＭＳ 明朝" w:hAnsi="ＭＳ 明朝"/>
          <w:szCs w:val="21"/>
        </w:rPr>
      </w:pPr>
    </w:p>
    <w:tbl>
      <w:tblPr>
        <w:tblStyle w:val="a3"/>
        <w:tblW w:w="0" w:type="auto"/>
        <w:tblLook w:val="04A0" w:firstRow="1" w:lastRow="0" w:firstColumn="1" w:lastColumn="0" w:noHBand="0" w:noVBand="1"/>
      </w:tblPr>
      <w:tblGrid>
        <w:gridCol w:w="2396"/>
        <w:gridCol w:w="6098"/>
      </w:tblGrid>
      <w:tr w:rsidR="00306EE0" w:rsidRPr="004374CA" w14:paraId="613BEFE8" w14:textId="77777777" w:rsidTr="00DC5648">
        <w:tc>
          <w:tcPr>
            <w:tcW w:w="2396" w:type="dxa"/>
          </w:tcPr>
          <w:p w14:paraId="6A7823E4" w14:textId="77777777" w:rsidR="00306EE0" w:rsidRPr="004374CA" w:rsidRDefault="00306EE0" w:rsidP="00540FDF">
            <w:pPr>
              <w:rPr>
                <w:rFonts w:ascii="ＭＳ 明朝" w:eastAsia="ＭＳ 明朝" w:hAnsi="ＭＳ 明朝"/>
                <w:szCs w:val="21"/>
              </w:rPr>
            </w:pPr>
            <w:r w:rsidRPr="004374CA">
              <w:rPr>
                <w:rFonts w:ascii="ＭＳ 明朝" w:eastAsia="ＭＳ 明朝" w:hAnsi="ＭＳ 明朝" w:hint="eastAsia"/>
                <w:szCs w:val="21"/>
              </w:rPr>
              <w:t>定める必要がある施設</w:t>
            </w:r>
          </w:p>
        </w:tc>
        <w:tc>
          <w:tcPr>
            <w:tcW w:w="6098" w:type="dxa"/>
          </w:tcPr>
          <w:p w14:paraId="1E05D7FE" w14:textId="77777777" w:rsidR="00306EE0" w:rsidRPr="004374CA" w:rsidRDefault="00306EE0" w:rsidP="00540FDF">
            <w:pPr>
              <w:rPr>
                <w:rFonts w:ascii="ＭＳ 明朝" w:eastAsia="ＭＳ 明朝" w:hAnsi="ＭＳ 明朝"/>
                <w:szCs w:val="21"/>
              </w:rPr>
            </w:pPr>
            <w:r w:rsidRPr="004374CA">
              <w:rPr>
                <w:rFonts w:ascii="ＭＳ 明朝" w:eastAsia="ＭＳ 明朝" w:hAnsi="ＭＳ 明朝" w:hint="eastAsia"/>
                <w:szCs w:val="21"/>
              </w:rPr>
              <w:t>地方公共団体等が作成する津波浸水想定区域図等において津波による浸水が想定される地域にある危険物施設</w:t>
            </w:r>
          </w:p>
        </w:tc>
      </w:tr>
    </w:tbl>
    <w:p w14:paraId="536F7FCE" w14:textId="77777777" w:rsidR="00306EE0" w:rsidRPr="004374CA" w:rsidRDefault="00306EE0" w:rsidP="00306EE0">
      <w:pPr>
        <w:rPr>
          <w:rFonts w:ascii="ＭＳ 明朝" w:eastAsia="ＭＳ 明朝" w:hAnsi="ＭＳ 明朝"/>
          <w:szCs w:val="21"/>
        </w:rPr>
      </w:pPr>
    </w:p>
    <w:p w14:paraId="7786EA95" w14:textId="77777777" w:rsidR="00306EE0" w:rsidRPr="004374CA" w:rsidRDefault="00306EE0" w:rsidP="00306EE0">
      <w:pPr>
        <w:rPr>
          <w:rFonts w:ascii="ＭＳ 明朝" w:eastAsia="ＭＳ 明朝" w:hAnsi="ＭＳ 明朝"/>
          <w:szCs w:val="21"/>
        </w:rPr>
      </w:pPr>
      <w:r w:rsidRPr="004374CA">
        <w:rPr>
          <w:rFonts w:ascii="ＭＳ 明朝" w:eastAsia="ＭＳ 明朝" w:hAnsi="ＭＳ 明朝" w:hint="eastAsia"/>
          <w:szCs w:val="21"/>
        </w:rPr>
        <w:t>第１　総則</w:t>
      </w:r>
    </w:p>
    <w:p w14:paraId="0DE253C9" w14:textId="77777777" w:rsidR="00306EE0" w:rsidRPr="004374CA" w:rsidRDefault="00306EE0" w:rsidP="00306EE0">
      <w:pPr>
        <w:ind w:firstLineChars="100" w:firstLine="210"/>
        <w:rPr>
          <w:rFonts w:ascii="ＭＳ 明朝" w:eastAsia="ＭＳ 明朝" w:hAnsi="ＭＳ 明朝"/>
          <w:szCs w:val="21"/>
        </w:rPr>
      </w:pPr>
      <w:r w:rsidRPr="004374CA">
        <w:rPr>
          <w:rFonts w:ascii="ＭＳ 明朝" w:eastAsia="ＭＳ 明朝" w:hAnsi="ＭＳ 明朝" w:hint="eastAsia"/>
          <w:szCs w:val="21"/>
        </w:rPr>
        <w:t>当所の津波対策は、本編及び関係する細則によるほか、第２で定める「津波対策の実施計画」に基づき行うものとする。</w:t>
      </w:r>
    </w:p>
    <w:p w14:paraId="3EB51106" w14:textId="77777777" w:rsidR="00306EE0" w:rsidRPr="004374CA" w:rsidRDefault="00306EE0" w:rsidP="00306EE0">
      <w:pPr>
        <w:rPr>
          <w:rFonts w:ascii="ＭＳ 明朝" w:eastAsia="ＭＳ 明朝" w:hAnsi="ＭＳ 明朝"/>
          <w:szCs w:val="21"/>
        </w:rPr>
      </w:pPr>
    </w:p>
    <w:p w14:paraId="435AE633" w14:textId="77777777" w:rsidR="00306EE0" w:rsidRPr="004374CA" w:rsidRDefault="00306EE0" w:rsidP="00306EE0">
      <w:pPr>
        <w:rPr>
          <w:rFonts w:ascii="ＭＳ 明朝" w:eastAsia="ＭＳ 明朝" w:hAnsi="ＭＳ 明朝"/>
          <w:szCs w:val="21"/>
        </w:rPr>
      </w:pPr>
      <w:r w:rsidRPr="004374CA">
        <w:rPr>
          <w:rFonts w:ascii="ＭＳ 明朝" w:eastAsia="ＭＳ 明朝" w:hAnsi="ＭＳ 明朝" w:hint="eastAsia"/>
          <w:szCs w:val="21"/>
        </w:rPr>
        <w:t>第２　津波対策の実施計画</w:t>
      </w:r>
    </w:p>
    <w:p w14:paraId="113E1643" w14:textId="77777777" w:rsidR="00306EE0" w:rsidRPr="004374CA" w:rsidRDefault="00306EE0" w:rsidP="00306EE0">
      <w:pPr>
        <w:rPr>
          <w:rFonts w:ascii="ＭＳ 明朝" w:eastAsia="ＭＳ 明朝" w:hAnsi="ＭＳ 明朝"/>
          <w:szCs w:val="21"/>
        </w:rPr>
      </w:pPr>
      <w:r w:rsidRPr="004374CA">
        <w:rPr>
          <w:rFonts w:ascii="ＭＳ 明朝" w:eastAsia="ＭＳ 明朝" w:hAnsi="ＭＳ 明朝" w:hint="eastAsia"/>
          <w:szCs w:val="21"/>
        </w:rPr>
        <w:t>１　平時からの事前の備え</w:t>
      </w:r>
    </w:p>
    <w:p w14:paraId="15E8B2C1" w14:textId="290DA7AC" w:rsidR="00306EE0" w:rsidRPr="004374CA"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⑴　所長は、津波ハザードマップ等を定期的に確認し、当所で想定される津波リスクの把握に努めるものとする。</w:t>
      </w:r>
    </w:p>
    <w:tbl>
      <w:tblPr>
        <w:tblStyle w:val="a3"/>
        <w:tblpPr w:leftFromText="142" w:rightFromText="142" w:vertAnchor="text" w:horzAnchor="margin" w:tblpXSpec="center" w:tblpY="51"/>
        <w:tblW w:w="0" w:type="auto"/>
        <w:tblLook w:val="04A0" w:firstRow="1" w:lastRow="0" w:firstColumn="1" w:lastColumn="0" w:noHBand="0" w:noVBand="1"/>
      </w:tblPr>
      <w:tblGrid>
        <w:gridCol w:w="1754"/>
        <w:gridCol w:w="5182"/>
      </w:tblGrid>
      <w:tr w:rsidR="00DE1AF4" w:rsidRPr="004374CA" w14:paraId="1F628069" w14:textId="77777777" w:rsidTr="00C934CB">
        <w:tc>
          <w:tcPr>
            <w:tcW w:w="1754" w:type="dxa"/>
            <w:shd w:val="clear" w:color="auto" w:fill="E2EFD9" w:themeFill="accent6" w:themeFillTint="33"/>
          </w:tcPr>
          <w:p w14:paraId="09773CCC" w14:textId="77777777" w:rsidR="00DE1AF4" w:rsidRPr="004374CA" w:rsidRDefault="00DE1AF4" w:rsidP="00C934CB">
            <w:pPr>
              <w:rPr>
                <w:rFonts w:ascii="ＭＳ 明朝" w:eastAsia="ＭＳ 明朝" w:hAnsi="ＭＳ 明朝"/>
                <w:bCs/>
              </w:rPr>
            </w:pPr>
            <w:r w:rsidRPr="004374CA">
              <w:rPr>
                <w:rFonts w:ascii="ＭＳ 明朝" w:eastAsia="ＭＳ 明朝" w:hAnsi="ＭＳ 明朝" w:hint="eastAsia"/>
                <w:bCs/>
              </w:rPr>
              <w:t>津波リスク</w:t>
            </w:r>
          </w:p>
        </w:tc>
        <w:tc>
          <w:tcPr>
            <w:tcW w:w="5182" w:type="dxa"/>
            <w:shd w:val="clear" w:color="auto" w:fill="auto"/>
          </w:tcPr>
          <w:p w14:paraId="3E640D64" w14:textId="34D5F530" w:rsidR="00DE1AF4" w:rsidRPr="004374CA" w:rsidRDefault="00DE1AF4" w:rsidP="003F7F60">
            <w:pPr>
              <w:rPr>
                <w:rFonts w:ascii="ＭＳ 明朝" w:eastAsia="ＭＳ 明朝" w:hAnsi="ＭＳ 明朝"/>
                <w:bCs/>
                <w:color w:val="0070C0"/>
                <w:u w:val="single"/>
              </w:rPr>
            </w:pPr>
            <w:r w:rsidRPr="00F417FE">
              <w:rPr>
                <w:rFonts w:ascii="ＭＳ 明朝" w:eastAsia="ＭＳ 明朝" w:hAnsi="ＭＳ 明朝" w:hint="eastAsia"/>
                <w:bCs/>
              </w:rPr>
              <w:t>想定される最大津波高さ</w:t>
            </w:r>
            <w:r w:rsidR="00646F13" w:rsidRPr="00646F13">
              <w:rPr>
                <w:rFonts w:ascii="ＭＳ 明朝" w:eastAsia="ＭＳ 明朝" w:hAnsi="ＭＳ 明朝" w:hint="eastAsia"/>
                <w:bCs/>
                <w:color w:val="FF0000"/>
                <w:u w:val="single"/>
              </w:rPr>
              <w:t>3.55</w:t>
            </w:r>
            <w:r w:rsidRPr="00F417FE">
              <w:rPr>
                <w:rFonts w:ascii="ＭＳ 明朝" w:eastAsia="ＭＳ 明朝" w:hAnsi="ＭＳ 明朝" w:hint="eastAsia"/>
                <w:bCs/>
              </w:rPr>
              <w:t>ｍ</w:t>
            </w:r>
          </w:p>
        </w:tc>
      </w:tr>
    </w:tbl>
    <w:p w14:paraId="0BE6299C" w14:textId="17D6FB06" w:rsidR="00DE1AF4" w:rsidRPr="004374CA" w:rsidRDefault="00DE1AF4" w:rsidP="00306EE0">
      <w:pPr>
        <w:ind w:leftChars="100" w:left="420" w:hangingChars="100" w:hanging="210"/>
        <w:rPr>
          <w:rFonts w:ascii="ＭＳ 明朝" w:eastAsia="ＭＳ 明朝" w:hAnsi="ＭＳ 明朝"/>
          <w:szCs w:val="21"/>
        </w:rPr>
      </w:pPr>
    </w:p>
    <w:p w14:paraId="2D68D53F" w14:textId="77777777" w:rsidR="00DE1AF4" w:rsidRPr="004374CA" w:rsidRDefault="00DE1AF4" w:rsidP="00306EE0">
      <w:pPr>
        <w:ind w:leftChars="100" w:left="420" w:hangingChars="100" w:hanging="210"/>
        <w:rPr>
          <w:rFonts w:ascii="ＭＳ 明朝" w:eastAsia="ＭＳ 明朝" w:hAnsi="ＭＳ 明朝"/>
          <w:szCs w:val="21"/>
        </w:rPr>
      </w:pPr>
    </w:p>
    <w:p w14:paraId="1B1E4240" w14:textId="77777777" w:rsidR="00306EE0" w:rsidRPr="004374CA"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⑵　所長は、想定される津波リスクと当所の実態を踏まえ、定期的に実施計画の見直しを検討するものとする。</w:t>
      </w:r>
      <w:bookmarkStart w:id="0" w:name="_GoBack"/>
      <w:bookmarkEnd w:id="0"/>
    </w:p>
    <w:p w14:paraId="72E04433" w14:textId="01E97302" w:rsidR="00306EE0" w:rsidRPr="004374CA"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⑶　所長は、地震等による設備の破損等を考慮して、津波警報等の情報収集方法、勤務員等への情報提供方法を定めておくものとする。</w:t>
      </w:r>
    </w:p>
    <w:p w14:paraId="20A54626" w14:textId="41B3A2E9" w:rsidR="00306EE0" w:rsidRPr="004374CA"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⑷　所長は、地盤の液状化、構造物の破損、収容人員等を考慮して、勤務員等の避難場所等を定めておくものとする。</w:t>
      </w:r>
    </w:p>
    <w:p w14:paraId="7F80EFC0" w14:textId="73244CAC" w:rsidR="00306EE0" w:rsidRPr="00BE5695"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⑸　所長は、津波警報等が発令された場合、当所内の危険物を取扱う施設、設備等を安全に緊急停止させるための方法、手順、</w:t>
      </w:r>
      <w:r w:rsidR="00395034">
        <w:rPr>
          <w:rFonts w:ascii="ＭＳ 明朝" w:eastAsia="ＭＳ 明朝" w:hAnsi="ＭＳ 明朝" w:hint="eastAsia"/>
          <w:szCs w:val="21"/>
        </w:rPr>
        <w:t>応急措置及び実施</w:t>
      </w:r>
      <w:r w:rsidRPr="004374CA">
        <w:rPr>
          <w:rFonts w:ascii="ＭＳ 明朝" w:eastAsia="ＭＳ 明朝" w:hAnsi="ＭＳ 明朝" w:hint="eastAsia"/>
          <w:szCs w:val="21"/>
        </w:rPr>
        <w:t>体制等</w:t>
      </w:r>
      <w:r w:rsidR="00B868A9">
        <w:rPr>
          <w:rFonts w:ascii="ＭＳ 明朝" w:eastAsia="ＭＳ 明朝" w:hAnsi="ＭＳ 明朝" w:hint="eastAsia"/>
          <w:szCs w:val="21"/>
        </w:rPr>
        <w:t>について、下記事項</w:t>
      </w:r>
      <w:r w:rsidRPr="004374CA">
        <w:rPr>
          <w:rFonts w:ascii="ＭＳ 明朝" w:eastAsia="ＭＳ 明朝" w:hAnsi="ＭＳ 明朝" w:hint="eastAsia"/>
          <w:szCs w:val="21"/>
        </w:rPr>
        <w:t>を定めておくものとす</w:t>
      </w:r>
      <w:r w:rsidRPr="00BE5695">
        <w:rPr>
          <w:rFonts w:ascii="ＭＳ 明朝" w:eastAsia="ＭＳ 明朝" w:hAnsi="ＭＳ 明朝" w:hint="eastAsia"/>
          <w:szCs w:val="21"/>
        </w:rPr>
        <w:t>る。</w:t>
      </w:r>
    </w:p>
    <w:p w14:paraId="5EA61FBF" w14:textId="45BAE158" w:rsidR="00AE441D" w:rsidRPr="00514ABD" w:rsidRDefault="00AE441D" w:rsidP="00AE441D">
      <w:pPr>
        <w:pStyle w:val="af"/>
        <w:ind w:leftChars="200" w:left="630" w:hanging="210"/>
        <w:rPr>
          <w:rFonts w:ascii="ＭＳ 明朝" w:eastAsia="ＭＳ 明朝" w:hAnsi="ＭＳ 明朝"/>
          <w:color w:val="auto"/>
          <w:sz w:val="21"/>
          <w:szCs w:val="21"/>
        </w:rPr>
      </w:pPr>
      <w:r w:rsidRPr="00514ABD">
        <w:rPr>
          <w:rFonts w:ascii="ＭＳ 明朝" w:eastAsia="ＭＳ 明朝" w:hAnsi="ＭＳ 明朝" w:hint="eastAsia"/>
          <w:color w:val="auto"/>
          <w:sz w:val="21"/>
          <w:szCs w:val="21"/>
        </w:rPr>
        <w:t>ア　設備の破損、停電</w:t>
      </w:r>
      <w:r w:rsidR="00B868A9" w:rsidRPr="00514ABD">
        <w:rPr>
          <w:rFonts w:ascii="ＭＳ 明朝" w:eastAsia="ＭＳ 明朝" w:hAnsi="ＭＳ 明朝" w:hint="eastAsia"/>
          <w:color w:val="auto"/>
          <w:sz w:val="21"/>
          <w:szCs w:val="21"/>
        </w:rPr>
        <w:t>又は</w:t>
      </w:r>
      <w:r w:rsidRPr="00514ABD">
        <w:rPr>
          <w:rFonts w:ascii="ＭＳ 明朝" w:eastAsia="ＭＳ 明朝" w:hAnsi="ＭＳ 明朝" w:hint="eastAsia"/>
          <w:color w:val="auto"/>
          <w:sz w:val="21"/>
          <w:szCs w:val="21"/>
        </w:rPr>
        <w:t>浸水が発生した場合の対応</w:t>
      </w:r>
    </w:p>
    <w:p w14:paraId="261CCA8A" w14:textId="4A555840" w:rsidR="00AE441D" w:rsidRPr="00514ABD" w:rsidRDefault="00AE441D" w:rsidP="00AE441D">
      <w:pPr>
        <w:pStyle w:val="af"/>
        <w:ind w:leftChars="200" w:left="630" w:hanging="210"/>
        <w:rPr>
          <w:rFonts w:ascii="ＭＳ 明朝" w:eastAsia="ＭＳ 明朝" w:hAnsi="ＭＳ 明朝"/>
          <w:color w:val="auto"/>
          <w:sz w:val="21"/>
          <w:szCs w:val="21"/>
        </w:rPr>
      </w:pPr>
      <w:r w:rsidRPr="00514ABD">
        <w:rPr>
          <w:rFonts w:ascii="ＭＳ 明朝" w:eastAsia="ＭＳ 明朝" w:hAnsi="ＭＳ 明朝" w:hint="eastAsia"/>
          <w:color w:val="auto"/>
          <w:sz w:val="21"/>
          <w:szCs w:val="21"/>
        </w:rPr>
        <w:t>イ　津波襲来までの時間に応じた対応</w:t>
      </w:r>
    </w:p>
    <w:p w14:paraId="3992D60B" w14:textId="732C9909" w:rsidR="00AE441D" w:rsidRPr="00514ABD" w:rsidRDefault="00AE441D" w:rsidP="00AE441D">
      <w:pPr>
        <w:pStyle w:val="af"/>
        <w:ind w:leftChars="200" w:left="630" w:hanging="210"/>
        <w:rPr>
          <w:rFonts w:ascii="ＭＳ 明朝" w:eastAsia="ＭＳ 明朝" w:hAnsi="ＭＳ 明朝"/>
          <w:color w:val="auto"/>
          <w:sz w:val="21"/>
          <w:szCs w:val="21"/>
        </w:rPr>
      </w:pPr>
      <w:r w:rsidRPr="00514ABD">
        <w:rPr>
          <w:rFonts w:ascii="ＭＳ 明朝" w:eastAsia="ＭＳ 明朝" w:hAnsi="ＭＳ 明朝" w:hint="eastAsia"/>
          <w:color w:val="auto"/>
          <w:sz w:val="21"/>
          <w:szCs w:val="21"/>
        </w:rPr>
        <w:t>ウ　施設の緊急停止に伴い危険物を取り扱う装置等での異常反応や圧力上昇等により火災、流出等の事故が発生することがないよう、施設における危険物の貯蔵・取扱いの工程（プロセス）に応じた対応</w:t>
      </w:r>
    </w:p>
    <w:p w14:paraId="512A2987" w14:textId="52559169" w:rsidR="00AE441D" w:rsidRPr="00514ABD" w:rsidRDefault="00AE441D" w:rsidP="00AE441D">
      <w:pPr>
        <w:pStyle w:val="af"/>
        <w:ind w:leftChars="200" w:left="630" w:hanging="210"/>
        <w:rPr>
          <w:rFonts w:ascii="ＭＳ 明朝" w:eastAsia="ＭＳ 明朝" w:hAnsi="ＭＳ 明朝"/>
          <w:color w:val="auto"/>
          <w:sz w:val="21"/>
          <w:szCs w:val="21"/>
        </w:rPr>
      </w:pPr>
      <w:r w:rsidRPr="00514ABD">
        <w:rPr>
          <w:rFonts w:ascii="ＭＳ 明朝" w:eastAsia="ＭＳ 明朝" w:hAnsi="ＭＳ 明朝" w:hint="eastAsia"/>
          <w:color w:val="auto"/>
          <w:sz w:val="21"/>
          <w:szCs w:val="21"/>
        </w:rPr>
        <w:t>エ　緊急停止に係る設備機能が作動しない又は操作できない場合の対応</w:t>
      </w:r>
    </w:p>
    <w:p w14:paraId="59880F76" w14:textId="2D63C469" w:rsidR="00AE441D" w:rsidRPr="00514ABD" w:rsidRDefault="00AE441D" w:rsidP="00AE441D">
      <w:pPr>
        <w:pStyle w:val="af"/>
        <w:ind w:leftChars="200" w:left="630" w:hanging="210"/>
        <w:rPr>
          <w:rFonts w:ascii="ＭＳ 明朝" w:eastAsia="ＭＳ 明朝" w:hAnsi="ＭＳ 明朝"/>
          <w:color w:val="auto"/>
          <w:sz w:val="21"/>
          <w:szCs w:val="21"/>
        </w:rPr>
      </w:pPr>
      <w:r w:rsidRPr="00514ABD">
        <w:rPr>
          <w:rFonts w:ascii="ＭＳ 明朝" w:eastAsia="ＭＳ 明朝" w:hAnsi="ＭＳ 明朝" w:hint="eastAsia"/>
          <w:color w:val="auto"/>
          <w:sz w:val="21"/>
          <w:szCs w:val="21"/>
        </w:rPr>
        <w:t>オ　緊急停止等に対応できる時間が限られていることを考慮した、短時間で効果的に行うための判断基準、権限及び</w:t>
      </w:r>
      <w:r w:rsidR="00DB49EC" w:rsidRPr="00514ABD">
        <w:rPr>
          <w:rFonts w:ascii="ＭＳ 明朝" w:eastAsia="ＭＳ 明朝" w:hAnsi="ＭＳ 明朝" w:hint="eastAsia"/>
          <w:color w:val="auto"/>
          <w:sz w:val="21"/>
          <w:szCs w:val="21"/>
        </w:rPr>
        <w:t>勤務員</w:t>
      </w:r>
      <w:r w:rsidRPr="00514ABD">
        <w:rPr>
          <w:rFonts w:ascii="ＭＳ 明朝" w:eastAsia="ＭＳ 明朝" w:hAnsi="ＭＳ 明朝" w:hint="eastAsia"/>
          <w:color w:val="auto"/>
          <w:sz w:val="21"/>
          <w:szCs w:val="21"/>
        </w:rPr>
        <w:t>の役割</w:t>
      </w:r>
    </w:p>
    <w:p w14:paraId="78107843" w14:textId="6772C902" w:rsidR="00AE441D" w:rsidRPr="00BE5695" w:rsidRDefault="00AE441D" w:rsidP="00AE441D">
      <w:pPr>
        <w:ind w:leftChars="200" w:left="630" w:hangingChars="100" w:hanging="210"/>
        <w:rPr>
          <w:rFonts w:ascii="ＭＳ 明朝" w:eastAsia="ＭＳ 明朝" w:hAnsi="ＭＳ 明朝"/>
          <w:szCs w:val="21"/>
        </w:rPr>
      </w:pPr>
      <w:r w:rsidRPr="00514ABD">
        <w:rPr>
          <w:rFonts w:ascii="ＭＳ 明朝" w:eastAsia="ＭＳ 明朝" w:hAnsi="ＭＳ 明朝" w:hint="eastAsia"/>
          <w:szCs w:val="21"/>
        </w:rPr>
        <w:t>カ　夜間や休日など、</w:t>
      </w:r>
      <w:r w:rsidR="00DB49EC" w:rsidRPr="00514ABD">
        <w:rPr>
          <w:rFonts w:ascii="ＭＳ 明朝" w:eastAsia="ＭＳ 明朝" w:hAnsi="ＭＳ 明朝" w:hint="eastAsia"/>
          <w:szCs w:val="21"/>
        </w:rPr>
        <w:t>勤務員等</w:t>
      </w:r>
      <w:r w:rsidRPr="00514ABD">
        <w:rPr>
          <w:rFonts w:ascii="ＭＳ 明朝" w:eastAsia="ＭＳ 明朝" w:hAnsi="ＭＳ 明朝" w:hint="eastAsia"/>
          <w:szCs w:val="21"/>
        </w:rPr>
        <w:t>の少ない時間帯における実施体制</w:t>
      </w:r>
    </w:p>
    <w:p w14:paraId="107A91B0" w14:textId="03E0944B" w:rsidR="00306EE0" w:rsidRPr="004374CA" w:rsidRDefault="008F71F3" w:rsidP="00306EE0">
      <w:pPr>
        <w:ind w:leftChars="100" w:left="420" w:hangingChars="100" w:hanging="210"/>
        <w:rPr>
          <w:rFonts w:ascii="ＭＳ 明朝" w:eastAsia="ＭＳ 明朝" w:hAnsi="ＭＳ 明朝"/>
          <w:szCs w:val="21"/>
        </w:rPr>
      </w:pPr>
      <w:r>
        <w:rPr>
          <w:rFonts w:ascii="ＭＳ 明朝" w:eastAsia="ＭＳ 明朝" w:hAnsi="ＭＳ 明朝" w:hint="eastAsia"/>
          <w:szCs w:val="21"/>
        </w:rPr>
        <w:t>⑹</w:t>
      </w:r>
      <w:r w:rsidR="00306EE0" w:rsidRPr="004374CA">
        <w:rPr>
          <w:rFonts w:ascii="ＭＳ 明朝" w:eastAsia="ＭＳ 明朝" w:hAnsi="ＭＳ 明朝" w:hint="eastAsia"/>
          <w:szCs w:val="21"/>
        </w:rPr>
        <w:t xml:space="preserve">　所長は、勤務員に対して当所の津波リスクと津波の実施計画等について、必要な教育、訓練を行うものとする。</w:t>
      </w:r>
    </w:p>
    <w:p w14:paraId="4933C702" w14:textId="59A5B279" w:rsidR="00306EE0" w:rsidRPr="004374CA" w:rsidRDefault="008F71F3" w:rsidP="00306EE0">
      <w:pPr>
        <w:ind w:leftChars="100" w:left="420" w:hangingChars="100" w:hanging="210"/>
        <w:rPr>
          <w:rFonts w:ascii="ＭＳ 明朝" w:eastAsia="ＭＳ 明朝" w:hAnsi="ＭＳ 明朝"/>
          <w:szCs w:val="21"/>
        </w:rPr>
      </w:pPr>
      <w:r>
        <w:rPr>
          <w:rFonts w:ascii="ＭＳ 明朝" w:eastAsia="ＭＳ 明朝" w:hAnsi="ＭＳ 明朝" w:hint="eastAsia"/>
          <w:szCs w:val="21"/>
        </w:rPr>
        <w:t>⑺</w:t>
      </w:r>
      <w:r w:rsidR="00306EE0" w:rsidRPr="004374CA">
        <w:rPr>
          <w:rFonts w:ascii="ＭＳ 明朝" w:eastAsia="ＭＳ 明朝" w:hAnsi="ＭＳ 明朝" w:hint="eastAsia"/>
          <w:szCs w:val="21"/>
        </w:rPr>
        <w:t xml:space="preserve">　所長は、当所に出入りする全ての者に対して当所の津波リスクと津波警報等発令時</w:t>
      </w:r>
      <w:r w:rsidR="00306EE0" w:rsidRPr="004374CA">
        <w:rPr>
          <w:rFonts w:ascii="ＭＳ 明朝" w:eastAsia="ＭＳ 明朝" w:hAnsi="ＭＳ 明朝" w:hint="eastAsia"/>
          <w:szCs w:val="21"/>
        </w:rPr>
        <w:lastRenderedPageBreak/>
        <w:t>の避難について、必要な周知を行うものとする。</w:t>
      </w:r>
    </w:p>
    <w:p w14:paraId="626668CC" w14:textId="44BCB2C2" w:rsidR="00306EE0" w:rsidRPr="004374CA" w:rsidRDefault="008F71F3" w:rsidP="00306EE0">
      <w:pPr>
        <w:ind w:leftChars="100" w:left="420" w:hangingChars="100" w:hanging="210"/>
        <w:rPr>
          <w:rFonts w:ascii="ＭＳ 明朝" w:eastAsia="ＭＳ 明朝" w:hAnsi="ＭＳ 明朝"/>
          <w:color w:val="0070C0"/>
          <w:szCs w:val="21"/>
          <w:u w:val="single"/>
        </w:rPr>
      </w:pPr>
      <w:r>
        <w:rPr>
          <w:rFonts w:ascii="ＭＳ 明朝" w:eastAsia="ＭＳ 明朝" w:hAnsi="ＭＳ 明朝" w:hint="eastAsia"/>
          <w:color w:val="0070C0"/>
          <w:szCs w:val="21"/>
          <w:u w:val="single"/>
        </w:rPr>
        <w:t>⑻</w:t>
      </w:r>
      <w:r w:rsidR="00306EE0" w:rsidRPr="004374CA">
        <w:rPr>
          <w:rFonts w:ascii="ＭＳ 明朝" w:eastAsia="ＭＳ 明朝" w:hAnsi="ＭＳ 明朝" w:hint="eastAsia"/>
          <w:color w:val="0070C0"/>
          <w:szCs w:val="21"/>
          <w:u w:val="single"/>
        </w:rPr>
        <w:t xml:space="preserve">　その他</w:t>
      </w:r>
    </w:p>
    <w:p w14:paraId="0DCF487B" w14:textId="77777777" w:rsidR="00306EE0" w:rsidRPr="004374CA" w:rsidRDefault="00306EE0" w:rsidP="00306EE0">
      <w:pPr>
        <w:ind w:leftChars="200" w:left="420" w:firstLineChars="100" w:firstLine="210"/>
        <w:rPr>
          <w:rFonts w:ascii="ＭＳ 明朝" w:eastAsia="ＭＳ 明朝" w:hAnsi="ＭＳ 明朝"/>
          <w:color w:val="0070C0"/>
          <w:szCs w:val="21"/>
          <w:u w:val="single"/>
        </w:rPr>
      </w:pPr>
      <w:r w:rsidRPr="004374CA">
        <w:rPr>
          <w:rFonts w:ascii="ＭＳ 明朝" w:eastAsia="ＭＳ 明朝" w:hAnsi="ＭＳ 明朝" w:hint="eastAsia"/>
          <w:color w:val="0070C0"/>
          <w:szCs w:val="21"/>
          <w:u w:val="single"/>
        </w:rPr>
        <w:t>所長は、海上から当所に荷卸しを行う船舶関係者と協議し、津波警報等発令時の安全確保のために必要な対応を定めておくものとする。</w:t>
      </w:r>
    </w:p>
    <w:p w14:paraId="6D51157A" w14:textId="77777777" w:rsidR="00306EE0" w:rsidRPr="004374CA" w:rsidRDefault="00306EE0" w:rsidP="00306EE0">
      <w:pPr>
        <w:rPr>
          <w:rFonts w:ascii="ＭＳ 明朝" w:eastAsia="ＭＳ 明朝" w:hAnsi="ＭＳ 明朝"/>
          <w:szCs w:val="21"/>
        </w:rPr>
      </w:pPr>
      <w:r w:rsidRPr="004374CA">
        <w:rPr>
          <w:rFonts w:ascii="ＭＳ 明朝" w:eastAsia="ＭＳ 明朝" w:hAnsi="ＭＳ 明朝" w:hint="eastAsia"/>
          <w:szCs w:val="21"/>
        </w:rPr>
        <w:t>２　津波の危険性が高まってきた場合の措置</w:t>
      </w:r>
    </w:p>
    <w:p w14:paraId="5AB1C987" w14:textId="77777777" w:rsidR="00306EE0" w:rsidRPr="004374CA"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⑴　所長は、津波警報等の発表を覚知した場合は、勤務員等に「津波警報等が発表された」ことを確実に周知するものとする。</w:t>
      </w:r>
    </w:p>
    <w:p w14:paraId="6C66EBD6" w14:textId="21A4025A" w:rsidR="00306EE0" w:rsidRPr="004374CA" w:rsidRDefault="00306EE0" w:rsidP="00CA7FFD">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⑵　勤務員等は、施設内で強い揺れを感じた場合は作業を中断し、津波警報等の発表状況等の情報を確認するものとする。</w:t>
      </w:r>
    </w:p>
    <w:p w14:paraId="43725C6A" w14:textId="77777777" w:rsidR="00306EE0" w:rsidRPr="004374CA"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⑶　津波警報等が発表された場合は、勤務員等は想定される津波高さに応じて避難し、安全確保を図るものとする。</w:t>
      </w:r>
    </w:p>
    <w:p w14:paraId="5D5F7108" w14:textId="50DC7C16" w:rsidR="00306EE0" w:rsidRPr="004374CA" w:rsidRDefault="00306EE0" w:rsidP="00CA7FFD">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⑷　地震後の緊急点検中に津波警報等が発令された場合は、点検を中断し、津波警報等解除後に点検を再開するものとする。</w:t>
      </w:r>
    </w:p>
    <w:p w14:paraId="3180334C" w14:textId="533B0B33" w:rsidR="00306EE0" w:rsidRPr="004374CA"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⑸　津波警報等が発令された場合は、勤務員は、あらかじめ定められた方法等で、当所内の危険物を取扱う施設、設備等を安全に緊急停止させるものとする。</w:t>
      </w:r>
    </w:p>
    <w:p w14:paraId="1E30AD0E" w14:textId="77777777" w:rsidR="00306EE0" w:rsidRPr="004374CA" w:rsidRDefault="00306EE0" w:rsidP="00306EE0">
      <w:pPr>
        <w:ind w:leftChars="100" w:left="420" w:hangingChars="100" w:hanging="210"/>
        <w:rPr>
          <w:rFonts w:ascii="ＭＳ 明朝" w:eastAsia="ＭＳ 明朝" w:hAnsi="ＭＳ 明朝"/>
          <w:color w:val="0070C0"/>
          <w:szCs w:val="21"/>
          <w:u w:val="single"/>
        </w:rPr>
      </w:pPr>
      <w:r w:rsidRPr="004374CA">
        <w:rPr>
          <w:rFonts w:ascii="ＭＳ 明朝" w:eastAsia="ＭＳ 明朝" w:hAnsi="ＭＳ 明朝" w:hint="eastAsia"/>
          <w:color w:val="0070C0"/>
          <w:szCs w:val="21"/>
          <w:u w:val="single"/>
        </w:rPr>
        <w:t>⑹　その他</w:t>
      </w:r>
    </w:p>
    <w:p w14:paraId="4C6BB645" w14:textId="77777777" w:rsidR="00306EE0" w:rsidRPr="004374CA" w:rsidRDefault="00306EE0" w:rsidP="00306EE0">
      <w:pPr>
        <w:ind w:leftChars="200" w:left="630" w:hangingChars="100" w:hanging="210"/>
        <w:rPr>
          <w:rFonts w:ascii="ＭＳ 明朝" w:eastAsia="ＭＳ 明朝" w:hAnsi="ＭＳ 明朝"/>
          <w:color w:val="0070C0"/>
          <w:szCs w:val="21"/>
          <w:u w:val="single"/>
        </w:rPr>
      </w:pPr>
      <w:r w:rsidRPr="004374CA">
        <w:rPr>
          <w:rFonts w:ascii="ＭＳ 明朝" w:eastAsia="ＭＳ 明朝" w:hAnsi="ＭＳ 明朝" w:hint="eastAsia"/>
          <w:color w:val="0070C0"/>
          <w:szCs w:val="21"/>
          <w:u w:val="single"/>
        </w:rPr>
        <w:t>ア　自衛消防隊員は、拡声器、メガホン等を活用し、誘導員を配置して勤務員等を避難誘導するものとする。</w:t>
      </w:r>
    </w:p>
    <w:p w14:paraId="5B3C5A25" w14:textId="77777777" w:rsidR="00306EE0" w:rsidRPr="004374CA" w:rsidRDefault="00306EE0" w:rsidP="00306EE0">
      <w:pPr>
        <w:ind w:leftChars="200" w:left="630" w:hangingChars="100" w:hanging="210"/>
        <w:rPr>
          <w:rFonts w:ascii="ＭＳ 明朝" w:eastAsia="ＭＳ 明朝" w:hAnsi="ＭＳ 明朝"/>
          <w:color w:val="0070C0"/>
          <w:szCs w:val="21"/>
          <w:u w:val="single"/>
        </w:rPr>
      </w:pPr>
      <w:r w:rsidRPr="004374CA">
        <w:rPr>
          <w:rFonts w:ascii="ＭＳ 明朝" w:eastAsia="ＭＳ 明朝" w:hAnsi="ＭＳ 明朝" w:hint="eastAsia"/>
          <w:color w:val="0070C0"/>
          <w:szCs w:val="21"/>
          <w:u w:val="single"/>
        </w:rPr>
        <w:t>イ　避難経路は、道路状況、地域の被害状況等を考慮し、選定するものとする。</w:t>
      </w:r>
    </w:p>
    <w:p w14:paraId="355B188E" w14:textId="77777777" w:rsidR="00306EE0" w:rsidRPr="004374CA" w:rsidRDefault="00306EE0" w:rsidP="00306EE0">
      <w:pPr>
        <w:ind w:leftChars="200" w:left="630" w:hangingChars="100" w:hanging="210"/>
        <w:rPr>
          <w:rFonts w:ascii="ＭＳ 明朝" w:eastAsia="ＭＳ 明朝" w:hAnsi="ＭＳ 明朝"/>
          <w:color w:val="0070C0"/>
          <w:szCs w:val="21"/>
          <w:u w:val="single"/>
        </w:rPr>
      </w:pPr>
      <w:r w:rsidRPr="004374CA">
        <w:rPr>
          <w:rFonts w:ascii="ＭＳ 明朝" w:eastAsia="ＭＳ 明朝" w:hAnsi="ＭＳ 明朝" w:hint="eastAsia"/>
          <w:color w:val="0070C0"/>
          <w:szCs w:val="21"/>
          <w:u w:val="single"/>
        </w:rPr>
        <w:t>ウ　避難時は、ブレーカーの遮断、ガスの元栓の閉鎖等の施設の安全対策を行うものとする。</w:t>
      </w:r>
    </w:p>
    <w:p w14:paraId="13EF048D" w14:textId="77777777" w:rsidR="00306EE0" w:rsidRPr="004374CA" w:rsidRDefault="00306EE0" w:rsidP="00306EE0">
      <w:pPr>
        <w:rPr>
          <w:rFonts w:ascii="ＭＳ 明朝" w:eastAsia="ＭＳ 明朝" w:hAnsi="ＭＳ 明朝"/>
          <w:szCs w:val="21"/>
        </w:rPr>
      </w:pPr>
      <w:r w:rsidRPr="004374CA">
        <w:rPr>
          <w:rFonts w:ascii="ＭＳ 明朝" w:eastAsia="ＭＳ 明朝" w:hAnsi="ＭＳ 明朝" w:hint="eastAsia"/>
          <w:szCs w:val="21"/>
        </w:rPr>
        <w:t>３　津波警報等が解除された後の点検・復旧</w:t>
      </w:r>
    </w:p>
    <w:p w14:paraId="538E4374" w14:textId="77777777" w:rsidR="00306EE0" w:rsidRPr="004374CA"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⑴　津波警報等が解除された後、所長は、必要に応じて施設の緊急点検を実施し、当所の被害状況の把握に努めるものとする。</w:t>
      </w:r>
    </w:p>
    <w:p w14:paraId="113C8D3A" w14:textId="77777777" w:rsidR="0027153C" w:rsidRPr="004374CA"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⑵　施設再開の可否判断は、緊急点検の結果等から所長が行うものとする。</w:t>
      </w:r>
    </w:p>
    <w:p w14:paraId="47DC8D56" w14:textId="5463BC53" w:rsidR="00306EE0" w:rsidRPr="004374CA" w:rsidRDefault="00306EE0" w:rsidP="00306EE0">
      <w:pPr>
        <w:ind w:leftChars="100" w:left="420" w:hangingChars="100" w:hanging="210"/>
        <w:rPr>
          <w:rFonts w:ascii="ＭＳ 明朝" w:eastAsia="ＭＳ 明朝" w:hAnsi="ＭＳ 明朝"/>
          <w:szCs w:val="21"/>
        </w:rPr>
      </w:pPr>
      <w:r w:rsidRPr="004374CA">
        <w:rPr>
          <w:rFonts w:ascii="ＭＳ 明朝" w:eastAsia="ＭＳ 明朝" w:hAnsi="ＭＳ 明朝" w:hint="eastAsia"/>
          <w:szCs w:val="21"/>
        </w:rPr>
        <w:t>⑶　電力復旧時の通電火災や漏電の防止のため、当所内の電気設備や配線の健全性を確認するものとする。</w:t>
      </w:r>
    </w:p>
    <w:p w14:paraId="7326F840" w14:textId="77777777" w:rsidR="00306EE0" w:rsidRPr="004374CA" w:rsidRDefault="00306EE0" w:rsidP="00306EE0">
      <w:pPr>
        <w:ind w:left="210" w:hangingChars="100" w:hanging="210"/>
        <w:rPr>
          <w:rFonts w:ascii="ＭＳ 明朝" w:eastAsia="ＭＳ 明朝" w:hAnsi="ＭＳ 明朝"/>
          <w:color w:val="0070C0"/>
          <w:szCs w:val="21"/>
          <w:u w:val="single"/>
        </w:rPr>
      </w:pPr>
      <w:r w:rsidRPr="004374CA">
        <w:rPr>
          <w:rFonts w:ascii="ＭＳ 明朝" w:eastAsia="ＭＳ 明朝" w:hAnsi="ＭＳ 明朝" w:hint="eastAsia"/>
          <w:color w:val="0070C0"/>
          <w:szCs w:val="21"/>
          <w:u w:val="single"/>
        </w:rPr>
        <w:t>４　その他</w:t>
      </w:r>
    </w:p>
    <w:p w14:paraId="352767C3" w14:textId="096381BA" w:rsidR="00E13EA9" w:rsidRDefault="008652BE" w:rsidP="008652BE">
      <w:pPr>
        <w:ind w:leftChars="100" w:left="420" w:hangingChars="100" w:hanging="210"/>
        <w:rPr>
          <w:rFonts w:ascii="ＭＳ 明朝" w:eastAsia="ＭＳ 明朝" w:hAnsi="ＭＳ 明朝"/>
          <w:color w:val="0070C0"/>
          <w:szCs w:val="21"/>
          <w:u w:val="single"/>
        </w:rPr>
      </w:pPr>
      <w:r>
        <w:rPr>
          <w:rFonts w:ascii="ＭＳ 明朝" w:eastAsia="ＭＳ 明朝" w:hAnsi="ＭＳ 明朝" w:hint="eastAsia"/>
          <w:color w:val="0070C0"/>
          <w:szCs w:val="21"/>
          <w:u w:val="single"/>
        </w:rPr>
        <w:t xml:space="preserve">⑴　</w:t>
      </w:r>
      <w:r w:rsidR="00306EE0" w:rsidRPr="004374CA">
        <w:rPr>
          <w:rFonts w:ascii="ＭＳ 明朝" w:eastAsia="ＭＳ 明朝" w:hAnsi="ＭＳ 明朝" w:hint="eastAsia"/>
          <w:color w:val="0070C0"/>
          <w:szCs w:val="21"/>
          <w:u w:val="single"/>
        </w:rPr>
        <w:t>津波対策の実施計画に基づく対応</w:t>
      </w:r>
      <w:r w:rsidR="00C627D1">
        <w:rPr>
          <w:rFonts w:ascii="ＭＳ 明朝" w:eastAsia="ＭＳ 明朝" w:hAnsi="ＭＳ 明朝" w:hint="eastAsia"/>
          <w:color w:val="0070C0"/>
          <w:szCs w:val="21"/>
          <w:u w:val="single"/>
        </w:rPr>
        <w:t>に伴い</w:t>
      </w:r>
      <w:r w:rsidR="00306EE0" w:rsidRPr="004374CA">
        <w:rPr>
          <w:rFonts w:ascii="ＭＳ 明朝" w:eastAsia="ＭＳ 明朝" w:hAnsi="ＭＳ 明朝" w:hint="eastAsia"/>
          <w:color w:val="0070C0"/>
          <w:szCs w:val="21"/>
          <w:u w:val="single"/>
        </w:rPr>
        <w:t>、危険物の仮貯蔵等が必要になることが想定される場合は、消防署に事前提出した実施計画書に</w:t>
      </w:r>
      <w:r w:rsidR="00306EE0" w:rsidRPr="0030041F">
        <w:rPr>
          <w:rFonts w:ascii="ＭＳ 明朝" w:eastAsia="ＭＳ 明朝" w:hAnsi="ＭＳ 明朝" w:hint="eastAsia"/>
          <w:color w:val="0070C0"/>
          <w:szCs w:val="21"/>
          <w:u w:val="single"/>
        </w:rPr>
        <w:t>基づき安全対策を講ずるものとする。</w:t>
      </w:r>
    </w:p>
    <w:p w14:paraId="4DEC535A" w14:textId="77777777" w:rsidR="00BE5695" w:rsidRDefault="008652BE" w:rsidP="005065E0">
      <w:pPr>
        <w:ind w:leftChars="100" w:left="420" w:hangingChars="100" w:hanging="210"/>
        <w:rPr>
          <w:rFonts w:ascii="ＭＳ 明朝" w:eastAsia="ＭＳ 明朝" w:hAnsi="ＭＳ 明朝"/>
          <w:color w:val="0070C0"/>
          <w:szCs w:val="21"/>
          <w:u w:val="single"/>
        </w:rPr>
      </w:pPr>
      <w:r>
        <w:rPr>
          <w:rFonts w:ascii="ＭＳ 明朝" w:eastAsia="ＭＳ 明朝" w:hAnsi="ＭＳ 明朝" w:hint="eastAsia"/>
          <w:color w:val="0070C0"/>
          <w:szCs w:val="21"/>
          <w:u w:val="single"/>
        </w:rPr>
        <w:t>⑵　屋外タンク貯蔵所を有する場合は、</w:t>
      </w:r>
      <w:r w:rsidR="00BE5695">
        <w:rPr>
          <w:rFonts w:ascii="ＭＳ 明朝" w:eastAsia="ＭＳ 明朝" w:hAnsi="ＭＳ 明朝" w:hint="eastAsia"/>
          <w:color w:val="0070C0"/>
          <w:szCs w:val="21"/>
          <w:u w:val="single"/>
        </w:rPr>
        <w:t>次の対応を実施するものとする。</w:t>
      </w:r>
    </w:p>
    <w:p w14:paraId="089818AC" w14:textId="596458D3" w:rsidR="008652BE" w:rsidRDefault="00BE5695" w:rsidP="00514ABD">
      <w:pPr>
        <w:ind w:leftChars="200" w:left="630" w:hangingChars="100" w:hanging="210"/>
        <w:rPr>
          <w:rFonts w:ascii="ＭＳ 明朝" w:eastAsia="ＭＳ 明朝" w:hAnsi="ＭＳ 明朝"/>
          <w:color w:val="0070C0"/>
          <w:szCs w:val="21"/>
          <w:u w:val="single"/>
        </w:rPr>
      </w:pPr>
      <w:r>
        <w:rPr>
          <w:rFonts w:ascii="ＭＳ 明朝" w:eastAsia="ＭＳ 明朝" w:hAnsi="ＭＳ 明朝" w:hint="eastAsia"/>
          <w:color w:val="0070C0"/>
          <w:szCs w:val="21"/>
          <w:u w:val="single"/>
        </w:rPr>
        <w:t xml:space="preserve">ア　</w:t>
      </w:r>
      <w:r w:rsidR="008652BE">
        <w:rPr>
          <w:rFonts w:ascii="ＭＳ 明朝" w:eastAsia="ＭＳ 明朝" w:hAnsi="ＭＳ 明朝" w:hint="eastAsia"/>
          <w:color w:val="0070C0"/>
          <w:szCs w:val="21"/>
          <w:u w:val="single"/>
        </w:rPr>
        <w:t>津波浸水深、タンクの自重及び内径並びに貯蔵する危険物の重量等の状況を踏まえた上で被害予測を行い、津波対策に関する事項を定める</w:t>
      </w:r>
      <w:r w:rsidR="005065E0">
        <w:rPr>
          <w:rFonts w:ascii="ＭＳ 明朝" w:eastAsia="ＭＳ 明朝" w:hAnsi="ＭＳ 明朝" w:hint="eastAsia"/>
          <w:color w:val="0070C0"/>
          <w:szCs w:val="21"/>
          <w:u w:val="single"/>
        </w:rPr>
        <w:t>ものとする</w:t>
      </w:r>
      <w:r w:rsidR="008652BE">
        <w:rPr>
          <w:rFonts w:ascii="ＭＳ 明朝" w:eastAsia="ＭＳ 明朝" w:hAnsi="ＭＳ 明朝" w:hint="eastAsia"/>
          <w:color w:val="0070C0"/>
          <w:szCs w:val="21"/>
          <w:u w:val="single"/>
        </w:rPr>
        <w:t>。</w:t>
      </w:r>
    </w:p>
    <w:p w14:paraId="3902214E" w14:textId="4DC3328B" w:rsidR="00596123" w:rsidRPr="00514ABD" w:rsidRDefault="00BE5695" w:rsidP="00514ABD">
      <w:pPr>
        <w:pStyle w:val="abc"/>
        <w:ind w:leftChars="200" w:left="630" w:hanging="210"/>
        <w:rPr>
          <w:rFonts w:ascii="ＭＳ 明朝" w:eastAsia="ＭＳ 明朝" w:hAnsi="ＭＳ 明朝"/>
          <w:color w:val="0070C0"/>
          <w:sz w:val="21"/>
          <w:szCs w:val="21"/>
          <w:u w:val="single"/>
        </w:rPr>
      </w:pPr>
      <w:r>
        <w:rPr>
          <w:rFonts w:ascii="ＭＳ 明朝" w:eastAsia="ＭＳ 明朝" w:hAnsi="ＭＳ 明朝" w:hint="eastAsia"/>
          <w:color w:val="0070C0"/>
          <w:sz w:val="21"/>
          <w:szCs w:val="21"/>
          <w:u w:val="single"/>
        </w:rPr>
        <w:t>イ</w:t>
      </w:r>
      <w:r w:rsidR="005065E0" w:rsidRPr="004D1E01">
        <w:rPr>
          <w:rFonts w:ascii="ＭＳ 明朝" w:eastAsia="ＭＳ 明朝" w:hAnsi="ＭＳ 明朝" w:hint="eastAsia"/>
          <w:color w:val="0070C0"/>
          <w:sz w:val="21"/>
          <w:szCs w:val="21"/>
          <w:u w:val="single"/>
        </w:rPr>
        <w:t xml:space="preserve">　タンク底板から３ｍ以上の津波浸水が想定される特定屋外タンク</w:t>
      </w:r>
      <w:r w:rsidR="00860C90" w:rsidRPr="004D1E01">
        <w:rPr>
          <w:rFonts w:ascii="ＭＳ 明朝" w:eastAsia="ＭＳ 明朝" w:hAnsi="ＭＳ 明朝" w:hint="eastAsia"/>
          <w:color w:val="0070C0"/>
          <w:sz w:val="21"/>
          <w:szCs w:val="21"/>
          <w:u w:val="single"/>
        </w:rPr>
        <w:t>貯蔵所</w:t>
      </w:r>
      <w:r w:rsidR="00263764" w:rsidRPr="004D1E01">
        <w:rPr>
          <w:rFonts w:ascii="ＭＳ 明朝" w:eastAsia="ＭＳ 明朝" w:hAnsi="ＭＳ 明朝" w:hint="eastAsia"/>
          <w:color w:val="0070C0"/>
          <w:sz w:val="21"/>
          <w:szCs w:val="21"/>
          <w:u w:val="single"/>
        </w:rPr>
        <w:t>を有する場合は、</w:t>
      </w:r>
      <w:r w:rsidR="004D1E01">
        <w:rPr>
          <w:rFonts w:ascii="ＭＳ 明朝" w:eastAsia="ＭＳ 明朝" w:hAnsi="ＭＳ 明朝" w:hint="eastAsia"/>
          <w:color w:val="0070C0"/>
          <w:sz w:val="21"/>
          <w:szCs w:val="21"/>
          <w:u w:val="single"/>
        </w:rPr>
        <w:t>津波により配管が損傷した際に</w:t>
      </w:r>
      <w:r w:rsidR="00596123" w:rsidRPr="00514ABD">
        <w:rPr>
          <w:rFonts w:ascii="ＭＳ 明朝" w:eastAsia="ＭＳ 明朝" w:hAnsi="ＭＳ 明朝" w:hint="eastAsia"/>
          <w:color w:val="0070C0"/>
          <w:sz w:val="21"/>
          <w:szCs w:val="21"/>
          <w:u w:val="single"/>
        </w:rPr>
        <w:t>当該タンクから</w:t>
      </w:r>
      <w:r w:rsidR="00860C90" w:rsidRPr="00514ABD">
        <w:rPr>
          <w:rFonts w:ascii="ＭＳ 明朝" w:eastAsia="ＭＳ 明朝" w:hAnsi="ＭＳ 明朝" w:hint="eastAsia"/>
          <w:color w:val="0070C0"/>
          <w:sz w:val="21"/>
          <w:szCs w:val="21"/>
          <w:u w:val="single"/>
        </w:rPr>
        <w:t>配管を通じて危険物が</w:t>
      </w:r>
      <w:r w:rsidR="00596123" w:rsidRPr="00514ABD">
        <w:rPr>
          <w:rFonts w:ascii="ＭＳ 明朝" w:eastAsia="ＭＳ 明朝" w:hAnsi="ＭＳ 明朝" w:hint="eastAsia"/>
          <w:color w:val="0070C0"/>
          <w:sz w:val="21"/>
          <w:szCs w:val="21"/>
          <w:u w:val="single"/>
        </w:rPr>
        <w:t>流出</w:t>
      </w:r>
      <w:r w:rsidR="00860C90" w:rsidRPr="00514ABD">
        <w:rPr>
          <w:rFonts w:ascii="ＭＳ 明朝" w:eastAsia="ＭＳ 明朝" w:hAnsi="ＭＳ 明朝" w:hint="eastAsia"/>
          <w:color w:val="0070C0"/>
          <w:sz w:val="21"/>
          <w:szCs w:val="21"/>
          <w:u w:val="single"/>
        </w:rPr>
        <w:lastRenderedPageBreak/>
        <w:t>することを防止する</w:t>
      </w:r>
      <w:r w:rsidR="003E5004" w:rsidRPr="00514ABD">
        <w:rPr>
          <w:rFonts w:ascii="ＭＳ 明朝" w:eastAsia="ＭＳ 明朝" w:hAnsi="ＭＳ 明朝" w:hint="eastAsia"/>
          <w:color w:val="0070C0"/>
          <w:sz w:val="21"/>
          <w:szCs w:val="21"/>
          <w:u w:val="single"/>
        </w:rPr>
        <w:t>ため、タンク元弁を手動で閉鎖する又は予備動力源が確保された遠隔操作によって閉鎖する機能を有する弁を設置する等の</w:t>
      </w:r>
      <w:r w:rsidR="00860C90" w:rsidRPr="00514ABD">
        <w:rPr>
          <w:rFonts w:ascii="ＭＳ 明朝" w:eastAsia="ＭＳ 明朝" w:hAnsi="ＭＳ 明朝" w:hint="eastAsia"/>
          <w:color w:val="0070C0"/>
          <w:sz w:val="21"/>
          <w:szCs w:val="21"/>
          <w:u w:val="single"/>
        </w:rPr>
        <w:t>措置</w:t>
      </w:r>
      <w:r w:rsidR="003E5004" w:rsidRPr="00514ABD">
        <w:rPr>
          <w:rFonts w:ascii="ＭＳ 明朝" w:eastAsia="ＭＳ 明朝" w:hAnsi="ＭＳ 明朝" w:hint="eastAsia"/>
          <w:color w:val="0070C0"/>
          <w:sz w:val="21"/>
          <w:szCs w:val="21"/>
          <w:u w:val="single"/>
        </w:rPr>
        <w:t>を講じる</w:t>
      </w:r>
      <w:r w:rsidR="00860C90" w:rsidRPr="00514ABD">
        <w:rPr>
          <w:rFonts w:ascii="ＭＳ 明朝" w:eastAsia="ＭＳ 明朝" w:hAnsi="ＭＳ 明朝" w:hint="eastAsia"/>
          <w:color w:val="0070C0"/>
          <w:sz w:val="21"/>
          <w:szCs w:val="21"/>
          <w:u w:val="single"/>
        </w:rPr>
        <w:t>ものとする</w:t>
      </w:r>
      <w:r w:rsidR="00596123" w:rsidRPr="00514ABD">
        <w:rPr>
          <w:rFonts w:ascii="ＭＳ 明朝" w:eastAsia="ＭＳ 明朝" w:hAnsi="ＭＳ 明朝" w:hint="eastAsia"/>
          <w:color w:val="0070C0"/>
          <w:sz w:val="21"/>
          <w:szCs w:val="21"/>
          <w:u w:val="single"/>
        </w:rPr>
        <w:t>。</w:t>
      </w:r>
    </w:p>
    <w:p w14:paraId="52AA433A" w14:textId="4CE3BB14" w:rsidR="005065E0" w:rsidRPr="003E5004" w:rsidRDefault="00BE5695" w:rsidP="00514ABD">
      <w:pPr>
        <w:ind w:leftChars="200" w:left="630" w:hangingChars="100" w:hanging="210"/>
        <w:rPr>
          <w:rFonts w:ascii="ＭＳ 明朝" w:eastAsia="ＭＳ 明朝" w:hAnsi="ＭＳ 明朝"/>
          <w:color w:val="0070C0"/>
          <w:szCs w:val="21"/>
          <w:u w:val="single"/>
        </w:rPr>
      </w:pPr>
      <w:r>
        <w:rPr>
          <w:rFonts w:ascii="ＭＳ 明朝" w:eastAsia="ＭＳ 明朝" w:hAnsi="ＭＳ 明朝" w:hint="eastAsia"/>
          <w:color w:val="0070C0"/>
          <w:szCs w:val="21"/>
          <w:u w:val="single"/>
        </w:rPr>
        <w:t>ウ</w:t>
      </w:r>
      <w:r w:rsidR="004D1E01" w:rsidRPr="00BE5695">
        <w:rPr>
          <w:rFonts w:ascii="ＭＳ 明朝" w:eastAsia="ＭＳ 明朝" w:hAnsi="ＭＳ 明朝" w:hint="eastAsia"/>
          <w:color w:val="0070C0"/>
          <w:szCs w:val="21"/>
          <w:u w:val="single"/>
        </w:rPr>
        <w:t xml:space="preserve">　タンク</w:t>
      </w:r>
      <w:r w:rsidR="004D1E01" w:rsidRPr="00514ABD">
        <w:rPr>
          <w:rFonts w:ascii="ＭＳ 明朝" w:eastAsia="ＭＳ 明朝" w:hAnsi="ＭＳ 明朝" w:hint="eastAsia"/>
          <w:color w:val="0070C0"/>
          <w:szCs w:val="21"/>
          <w:u w:val="single"/>
        </w:rPr>
        <w:t>容量が</w:t>
      </w:r>
      <w:r w:rsidR="004D1E01" w:rsidRPr="00514ABD">
        <w:rPr>
          <w:rFonts w:ascii="ＭＳ 明朝" w:eastAsia="ＭＳ 明朝" w:hAnsi="ＭＳ 明朝"/>
          <w:color w:val="0070C0"/>
          <w:szCs w:val="21"/>
          <w:u w:val="single"/>
        </w:rPr>
        <w:t>1,000kL未満の屋外タンク貯蔵所を有する場合は、津波によりタンク本体が移動等の被害を受けるおそれが高いことから</w:t>
      </w:r>
      <w:r w:rsidR="004D1E01" w:rsidRPr="00514ABD">
        <w:rPr>
          <w:rFonts w:ascii="ＭＳ 明朝" w:eastAsia="ＭＳ 明朝" w:hAnsi="ＭＳ 明朝" w:hint="eastAsia"/>
          <w:color w:val="0070C0"/>
          <w:szCs w:val="21"/>
          <w:u w:val="single"/>
        </w:rPr>
        <w:t>、津波被害シミュレーションの結果を踏まえ、可能な限り危険物の流出を最小限にとどめるための具体的な対策を定める</w:t>
      </w:r>
      <w:r w:rsidR="003E5004" w:rsidRPr="00514ABD">
        <w:rPr>
          <w:rFonts w:ascii="ＭＳ 明朝" w:eastAsia="ＭＳ 明朝" w:hAnsi="ＭＳ 明朝" w:hint="eastAsia"/>
          <w:color w:val="0070C0"/>
          <w:szCs w:val="21"/>
          <w:u w:val="single"/>
        </w:rPr>
        <w:t>ものとする</w:t>
      </w:r>
      <w:r w:rsidR="004D1E01" w:rsidRPr="00514ABD">
        <w:rPr>
          <w:rFonts w:ascii="ＭＳ 明朝" w:eastAsia="ＭＳ 明朝" w:hAnsi="ＭＳ 明朝" w:hint="eastAsia"/>
          <w:color w:val="0070C0"/>
          <w:szCs w:val="21"/>
          <w:u w:val="single"/>
        </w:rPr>
        <w:t>。</w:t>
      </w:r>
    </w:p>
    <w:sectPr w:rsidR="005065E0" w:rsidRPr="003E5004">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F2E7" w16cex:dateUtc="2022-09-0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1184D5" w16cid:durableId="26C5CD7A"/>
  <w16cid:commentId w16cid:paraId="0D379719" w16cid:durableId="26C5CD7B"/>
  <w16cid:commentId w16cid:paraId="5E771D7E" w16cid:durableId="26C5CD7C"/>
  <w16cid:commentId w16cid:paraId="59376A2D" w16cid:durableId="26C5CD7D"/>
  <w16cid:commentId w16cid:paraId="1E39C496" w16cid:durableId="26C5CD7E"/>
  <w16cid:commentId w16cid:paraId="134FB62F" w16cid:durableId="26C5CD7F"/>
  <w16cid:commentId w16cid:paraId="1CEDF375" w16cid:durableId="26C5CD80"/>
  <w16cid:commentId w16cid:paraId="2B0C165C" w16cid:durableId="26C5CD81"/>
  <w16cid:commentId w16cid:paraId="7B744CFF" w16cid:durableId="26C5CD82"/>
  <w16cid:commentId w16cid:paraId="13758F58" w16cid:durableId="26C5CD83"/>
  <w16cid:commentId w16cid:paraId="41A57E0F" w16cid:durableId="26C5F2E7"/>
  <w16cid:commentId w16cid:paraId="682BBADC" w16cid:durableId="26C5CD84"/>
  <w16cid:commentId w16cid:paraId="192028A1" w16cid:durableId="26C5CD85"/>
  <w16cid:commentId w16cid:paraId="3518850A" w16cid:durableId="26C5CD86"/>
  <w16cid:commentId w16cid:paraId="4A51A5D8" w16cid:durableId="26C5CD87"/>
  <w16cid:commentId w16cid:paraId="4E3C7F89" w16cid:durableId="26C5CD88"/>
  <w16cid:commentId w16cid:paraId="3C3F721C" w16cid:durableId="26C5CD89"/>
  <w16cid:commentId w16cid:paraId="5F9BB064" w16cid:durableId="26C5CD8A"/>
  <w16cid:commentId w16cid:paraId="0E22E409" w16cid:durableId="26C5CD8B"/>
  <w16cid:commentId w16cid:paraId="79AA42F1" w16cid:durableId="26C5CD8C"/>
  <w16cid:commentId w16cid:paraId="3E943479" w16cid:durableId="26C5CD8D"/>
  <w16cid:commentId w16cid:paraId="083EABC5" w16cid:durableId="26C5CD8E"/>
  <w16cid:commentId w16cid:paraId="1DFBB8A8" w16cid:durableId="26C5CD8F"/>
  <w16cid:commentId w16cid:paraId="6219A6DA" w16cid:durableId="26C5CD90"/>
  <w16cid:commentId w16cid:paraId="1B651532" w16cid:durableId="26C5CD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9B135" w14:textId="77777777" w:rsidR="0002029E" w:rsidRDefault="0002029E" w:rsidP="00DC5648">
      <w:r>
        <w:separator/>
      </w:r>
    </w:p>
  </w:endnote>
  <w:endnote w:type="continuationSeparator" w:id="0">
    <w:p w14:paraId="6F982FC8" w14:textId="77777777" w:rsidR="0002029E" w:rsidRDefault="0002029E" w:rsidP="00DC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8FAF9" w14:textId="77777777" w:rsidR="0002029E" w:rsidRDefault="0002029E" w:rsidP="00DC5648">
      <w:r>
        <w:separator/>
      </w:r>
    </w:p>
  </w:footnote>
  <w:footnote w:type="continuationSeparator" w:id="0">
    <w:p w14:paraId="3D8639A7" w14:textId="77777777" w:rsidR="0002029E" w:rsidRDefault="0002029E" w:rsidP="00DC5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E0"/>
    <w:rsid w:val="0002029E"/>
    <w:rsid w:val="00025547"/>
    <w:rsid w:val="00031A61"/>
    <w:rsid w:val="00031EAF"/>
    <w:rsid w:val="0007288C"/>
    <w:rsid w:val="000B7131"/>
    <w:rsid w:val="000E61CE"/>
    <w:rsid w:val="00263764"/>
    <w:rsid w:val="0027153C"/>
    <w:rsid w:val="0029027D"/>
    <w:rsid w:val="0030041F"/>
    <w:rsid w:val="00306EE0"/>
    <w:rsid w:val="00311AA6"/>
    <w:rsid w:val="00395034"/>
    <w:rsid w:val="00396DF0"/>
    <w:rsid w:val="003B08E5"/>
    <w:rsid w:val="003E5004"/>
    <w:rsid w:val="003F7F60"/>
    <w:rsid w:val="004336D9"/>
    <w:rsid w:val="00433D39"/>
    <w:rsid w:val="004374CA"/>
    <w:rsid w:val="004C3C29"/>
    <w:rsid w:val="004D1E01"/>
    <w:rsid w:val="005065E0"/>
    <w:rsid w:val="00514ABD"/>
    <w:rsid w:val="00596123"/>
    <w:rsid w:val="005C3EE5"/>
    <w:rsid w:val="00646F13"/>
    <w:rsid w:val="00677B54"/>
    <w:rsid w:val="00683B9A"/>
    <w:rsid w:val="006C6750"/>
    <w:rsid w:val="006F2D25"/>
    <w:rsid w:val="007A0EC3"/>
    <w:rsid w:val="007A38AB"/>
    <w:rsid w:val="007B02A2"/>
    <w:rsid w:val="007E63C4"/>
    <w:rsid w:val="007E7DD4"/>
    <w:rsid w:val="007F1DCB"/>
    <w:rsid w:val="00820677"/>
    <w:rsid w:val="00835B6E"/>
    <w:rsid w:val="00860C90"/>
    <w:rsid w:val="008652BE"/>
    <w:rsid w:val="00892D70"/>
    <w:rsid w:val="008D35ED"/>
    <w:rsid w:val="008F42D0"/>
    <w:rsid w:val="008F71F3"/>
    <w:rsid w:val="00910BEF"/>
    <w:rsid w:val="009272AD"/>
    <w:rsid w:val="0095172C"/>
    <w:rsid w:val="00987AD7"/>
    <w:rsid w:val="009B3084"/>
    <w:rsid w:val="00A1717B"/>
    <w:rsid w:val="00A845FA"/>
    <w:rsid w:val="00A85D8B"/>
    <w:rsid w:val="00AB1889"/>
    <w:rsid w:val="00AE0453"/>
    <w:rsid w:val="00AE441D"/>
    <w:rsid w:val="00B56BD9"/>
    <w:rsid w:val="00B868A9"/>
    <w:rsid w:val="00BE5695"/>
    <w:rsid w:val="00C627D1"/>
    <w:rsid w:val="00C814A7"/>
    <w:rsid w:val="00C8767D"/>
    <w:rsid w:val="00CA7FFD"/>
    <w:rsid w:val="00D52187"/>
    <w:rsid w:val="00DB49EC"/>
    <w:rsid w:val="00DC5648"/>
    <w:rsid w:val="00DE1AF4"/>
    <w:rsid w:val="00E13EA9"/>
    <w:rsid w:val="00E20CF4"/>
    <w:rsid w:val="00E879CB"/>
    <w:rsid w:val="00F01FC5"/>
    <w:rsid w:val="00F27CF5"/>
    <w:rsid w:val="00F335F5"/>
    <w:rsid w:val="00F417FE"/>
    <w:rsid w:val="00F44EF4"/>
    <w:rsid w:val="00F462A9"/>
    <w:rsid w:val="00F73DC2"/>
    <w:rsid w:val="00FD5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80521"/>
  <w15:chartTrackingRefBased/>
  <w15:docId w15:val="{8E88129A-26AF-466E-B9FB-34ED5BE2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EE0"/>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06EE0"/>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306EE0"/>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306EE0"/>
    <w:rPr>
      <w:rFonts w:asciiTheme="minorHAnsi" w:eastAsiaTheme="minorEastAsia"/>
      <w:kern w:val="0"/>
    </w:rPr>
  </w:style>
  <w:style w:type="character" w:styleId="a6">
    <w:name w:val="annotation reference"/>
    <w:basedOn w:val="a0"/>
    <w:uiPriority w:val="99"/>
    <w:unhideWhenUsed/>
    <w:qFormat/>
    <w:rsid w:val="00306EE0"/>
    <w:rPr>
      <w:sz w:val="18"/>
      <w:szCs w:val="18"/>
    </w:rPr>
  </w:style>
  <w:style w:type="paragraph" w:styleId="a7">
    <w:name w:val="Balloon Text"/>
    <w:basedOn w:val="a"/>
    <w:link w:val="a8"/>
    <w:uiPriority w:val="99"/>
    <w:semiHidden/>
    <w:unhideWhenUsed/>
    <w:rsid w:val="00306E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6EE0"/>
    <w:rPr>
      <w:rFonts w:asciiTheme="majorHAnsi" w:eastAsiaTheme="majorEastAsia" w:hAnsiTheme="majorHAnsi" w:cstheme="majorBidi"/>
      <w:sz w:val="18"/>
      <w:szCs w:val="18"/>
    </w:rPr>
  </w:style>
  <w:style w:type="paragraph" w:styleId="a9">
    <w:name w:val="header"/>
    <w:basedOn w:val="a"/>
    <w:link w:val="aa"/>
    <w:uiPriority w:val="99"/>
    <w:unhideWhenUsed/>
    <w:rsid w:val="00DC5648"/>
    <w:pPr>
      <w:tabs>
        <w:tab w:val="center" w:pos="4252"/>
        <w:tab w:val="right" w:pos="8504"/>
      </w:tabs>
      <w:snapToGrid w:val="0"/>
    </w:pPr>
  </w:style>
  <w:style w:type="character" w:customStyle="1" w:styleId="aa">
    <w:name w:val="ヘッダー (文字)"/>
    <w:basedOn w:val="a0"/>
    <w:link w:val="a9"/>
    <w:uiPriority w:val="99"/>
    <w:rsid w:val="00DC5648"/>
    <w:rPr>
      <w:rFonts w:asciiTheme="minorEastAsia" w:eastAsiaTheme="minorEastAsia"/>
    </w:rPr>
  </w:style>
  <w:style w:type="paragraph" w:styleId="ab">
    <w:name w:val="footer"/>
    <w:basedOn w:val="a"/>
    <w:link w:val="ac"/>
    <w:uiPriority w:val="99"/>
    <w:unhideWhenUsed/>
    <w:rsid w:val="00DC5648"/>
    <w:pPr>
      <w:tabs>
        <w:tab w:val="center" w:pos="4252"/>
        <w:tab w:val="right" w:pos="8504"/>
      </w:tabs>
      <w:snapToGrid w:val="0"/>
    </w:pPr>
  </w:style>
  <w:style w:type="character" w:customStyle="1" w:styleId="ac">
    <w:name w:val="フッター (文字)"/>
    <w:basedOn w:val="a0"/>
    <w:link w:val="ab"/>
    <w:uiPriority w:val="99"/>
    <w:rsid w:val="00DC5648"/>
    <w:rPr>
      <w:rFonts w:asciiTheme="minorEastAsia" w:eastAsiaTheme="minorEastAsia"/>
    </w:rPr>
  </w:style>
  <w:style w:type="paragraph" w:styleId="ad">
    <w:name w:val="annotation subject"/>
    <w:basedOn w:val="a4"/>
    <w:next w:val="a4"/>
    <w:link w:val="ae"/>
    <w:uiPriority w:val="99"/>
    <w:semiHidden/>
    <w:unhideWhenUsed/>
    <w:rsid w:val="007A0EC3"/>
    <w:pPr>
      <w:ind w:left="0" w:firstLineChars="0" w:firstLine="0"/>
    </w:pPr>
    <w:rPr>
      <w:rFonts w:asciiTheme="minorEastAsia"/>
      <w:b/>
      <w:bCs/>
      <w:kern w:val="2"/>
    </w:rPr>
  </w:style>
  <w:style w:type="character" w:customStyle="1" w:styleId="ae">
    <w:name w:val="コメント内容 (文字)"/>
    <w:basedOn w:val="a5"/>
    <w:link w:val="ad"/>
    <w:uiPriority w:val="99"/>
    <w:semiHidden/>
    <w:rsid w:val="007A0EC3"/>
    <w:rPr>
      <w:rFonts w:asciiTheme="minorEastAsia" w:eastAsiaTheme="minorEastAsia"/>
      <w:b/>
      <w:bCs/>
      <w:kern w:val="0"/>
    </w:rPr>
  </w:style>
  <w:style w:type="paragraph" w:customStyle="1" w:styleId="af">
    <w:name w:val="第８@ⅰ、ⅱ、ⅲ"/>
    <w:basedOn w:val="a"/>
    <w:link w:val="af0"/>
    <w:qFormat/>
    <w:rsid w:val="00AE441D"/>
    <w:pPr>
      <w:spacing w:line="320" w:lineRule="exact"/>
      <w:ind w:leftChars="700" w:left="1771" w:hangingChars="100" w:hanging="211"/>
    </w:pPr>
    <w:rPr>
      <w:rFonts w:hAnsiTheme="minorEastAsia"/>
      <w:color w:val="000000" w:themeColor="text1"/>
      <w:sz w:val="20"/>
      <w:szCs w:val="20"/>
    </w:rPr>
  </w:style>
  <w:style w:type="character" w:customStyle="1" w:styleId="af0">
    <w:name w:val="第８@ⅰ、ⅱ、ⅲ (文字)"/>
    <w:basedOn w:val="a0"/>
    <w:link w:val="af"/>
    <w:rsid w:val="00AE441D"/>
    <w:rPr>
      <w:rFonts w:asciiTheme="minorEastAsia" w:eastAsiaTheme="minorEastAsia" w:hAnsiTheme="minorEastAsia"/>
      <w:color w:val="000000" w:themeColor="text1"/>
      <w:sz w:val="20"/>
      <w:szCs w:val="20"/>
    </w:rPr>
  </w:style>
  <w:style w:type="paragraph" w:customStyle="1" w:styleId="abc">
    <w:name w:val="第６@(a)、(b)、(c)"/>
    <w:basedOn w:val="a"/>
    <w:link w:val="abc0"/>
    <w:qFormat/>
    <w:rsid w:val="00596123"/>
    <w:pPr>
      <w:spacing w:line="320" w:lineRule="exact"/>
      <w:ind w:leftChars="500" w:left="1318" w:hangingChars="100" w:hanging="211"/>
    </w:pPr>
    <w:rPr>
      <w:rFonts w:hAnsiTheme="minorEastAsia"/>
      <w:color w:val="000000" w:themeColor="text1"/>
      <w:sz w:val="20"/>
      <w:szCs w:val="20"/>
    </w:rPr>
  </w:style>
  <w:style w:type="character" w:customStyle="1" w:styleId="abc0">
    <w:name w:val="第６@(a)、(b)、(c) (文字)"/>
    <w:basedOn w:val="a0"/>
    <w:link w:val="abc"/>
    <w:rsid w:val="00596123"/>
    <w:rPr>
      <w:rFonts w:asciiTheme="minorEastAsia" w:eastAsiaTheme="minorEastAsia" w:hAnsiTheme="minorEastAsia"/>
      <w:color w:val="000000" w:themeColor="text1"/>
      <w:sz w:val="20"/>
      <w:szCs w:val="20"/>
    </w:rPr>
  </w:style>
  <w:style w:type="paragraph" w:customStyle="1" w:styleId="af1">
    <w:name w:val="第６～(a)"/>
    <w:basedOn w:val="a"/>
    <w:link w:val="af2"/>
    <w:qFormat/>
    <w:rsid w:val="00596123"/>
    <w:pPr>
      <w:spacing w:line="320" w:lineRule="exact"/>
      <w:ind w:leftChars="600" w:left="1328" w:firstLineChars="100" w:firstLine="211"/>
    </w:pPr>
    <w:rPr>
      <w:rFonts w:hAnsiTheme="minorEastAsia"/>
      <w:color w:val="000000" w:themeColor="text1"/>
      <w:sz w:val="20"/>
      <w:szCs w:val="20"/>
    </w:rPr>
  </w:style>
  <w:style w:type="character" w:customStyle="1" w:styleId="af2">
    <w:name w:val="第６～(a) (文字)"/>
    <w:basedOn w:val="a0"/>
    <w:link w:val="af1"/>
    <w:rsid w:val="00596123"/>
    <w:rPr>
      <w:rFonts w:asciiTheme="minorEastAsia" w:eastAsiaTheme="minorEastAsia" w:hAnsiTheme="minorEastAsia"/>
      <w:color w:val="000000" w:themeColor="text1"/>
      <w:sz w:val="20"/>
      <w:szCs w:val="20"/>
    </w:rPr>
  </w:style>
  <w:style w:type="paragraph" w:customStyle="1" w:styleId="af3">
    <w:name w:val="第７@①、②、③"/>
    <w:basedOn w:val="a"/>
    <w:link w:val="af4"/>
    <w:qFormat/>
    <w:rsid w:val="00596123"/>
    <w:pPr>
      <w:widowControl/>
      <w:spacing w:line="320" w:lineRule="exact"/>
      <w:ind w:leftChars="600" w:left="1539" w:hangingChars="100" w:hanging="211"/>
    </w:pPr>
    <w:rPr>
      <w:rFonts w:hAnsiTheme="minorEastAsia" w:cs="ＭＳ Ｐゴシック"/>
      <w:kern w:val="0"/>
      <w:sz w:val="20"/>
      <w:szCs w:val="20"/>
    </w:rPr>
  </w:style>
  <w:style w:type="character" w:customStyle="1" w:styleId="af4">
    <w:name w:val="第７@①、②、③ (文字)"/>
    <w:basedOn w:val="a0"/>
    <w:link w:val="af3"/>
    <w:rsid w:val="00596123"/>
    <w:rPr>
      <w:rFonts w:asciiTheme="minorEastAsia" w:eastAsiaTheme="minorEastAsia" w:hAnsiTheme="minorEastAsia" w:cs="ＭＳ Ｐゴシック"/>
      <w:kern w:val="0"/>
      <w:sz w:val="20"/>
      <w:szCs w:val="20"/>
    </w:rPr>
  </w:style>
  <w:style w:type="paragraph" w:styleId="af5">
    <w:name w:val="Revision"/>
    <w:hidden/>
    <w:uiPriority w:val="99"/>
    <w:semiHidden/>
    <w:rsid w:val="004D1E01"/>
    <w:rPr>
      <w:rFonts w:asciiTheme="minorEastAsia"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1" Target="commentsIds.xml" Type="http://schemas.microsoft.com/office/2016/09/relationships/commentsIds"/><Relationship Id="rId12" Target="commentsExtensible.xml" Type="http://schemas.microsoft.com/office/2018/08/relationships/commentsExtensibl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307</Words>
  <Characters>1755</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