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744DC" w14:textId="4EE40C2A" w:rsidR="0003037B" w:rsidRPr="00E96EF0" w:rsidRDefault="00CD58AA" w:rsidP="0003037B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細則３－</w:t>
      </w:r>
      <w:r w:rsidR="00781A1B">
        <w:rPr>
          <w:rFonts w:hAnsi="ＭＳ 明朝" w:hint="eastAsia"/>
          <w:szCs w:val="21"/>
        </w:rPr>
        <w:t>４</w:t>
      </w:r>
      <w:r>
        <w:rPr>
          <w:rFonts w:hAnsi="ＭＳ 明朝" w:hint="eastAsia"/>
          <w:szCs w:val="21"/>
        </w:rPr>
        <w:t xml:space="preserve">　</w:t>
      </w:r>
      <w:r w:rsidR="00464C15">
        <w:rPr>
          <w:rFonts w:hAnsi="ＭＳ 明朝" w:hint="eastAsia"/>
          <w:szCs w:val="21"/>
        </w:rPr>
        <w:t>リチウムイオン</w:t>
      </w:r>
      <w:r w:rsidR="001B32EC">
        <w:rPr>
          <w:rFonts w:hAnsi="ＭＳ 明朝" w:hint="eastAsia"/>
          <w:szCs w:val="21"/>
        </w:rPr>
        <w:t>蓄電池設備</w:t>
      </w:r>
      <w:r>
        <w:rPr>
          <w:rFonts w:hAnsi="ＭＳ 明朝" w:hint="eastAsia"/>
          <w:szCs w:val="21"/>
        </w:rPr>
        <w:t>の</w:t>
      </w:r>
      <w:r w:rsidR="00785753">
        <w:rPr>
          <w:rFonts w:hAnsi="ＭＳ 明朝" w:hint="eastAsia"/>
          <w:szCs w:val="21"/>
        </w:rPr>
        <w:t>遠隔制御</w:t>
      </w:r>
      <w:r>
        <w:rPr>
          <w:rFonts w:hAnsi="ＭＳ 明朝" w:hint="eastAsia"/>
          <w:szCs w:val="21"/>
        </w:rPr>
        <w:t>等を行う</w:t>
      </w:r>
      <w:r w:rsidR="0003037B" w:rsidRPr="00E96EF0">
        <w:rPr>
          <w:rFonts w:hAnsi="ＭＳ 明朝" w:hint="eastAsia"/>
          <w:szCs w:val="21"/>
        </w:rPr>
        <w:t>一般取扱所の自主保安基準</w:t>
      </w:r>
    </w:p>
    <w:p w14:paraId="58398922" w14:textId="77777777" w:rsidR="0003037B" w:rsidRPr="00E96EF0" w:rsidRDefault="0003037B" w:rsidP="0003037B">
      <w:pPr>
        <w:rPr>
          <w:rFonts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6"/>
        <w:gridCol w:w="5963"/>
      </w:tblGrid>
      <w:tr w:rsidR="0003037B" w:rsidRPr="00E96EF0" w14:paraId="77F04988" w14:textId="77777777" w:rsidTr="00245407">
        <w:tc>
          <w:tcPr>
            <w:tcW w:w="2396" w:type="dxa"/>
          </w:tcPr>
          <w:p w14:paraId="324EB5B1" w14:textId="77777777" w:rsidR="0003037B" w:rsidRPr="00E96EF0" w:rsidRDefault="0003037B" w:rsidP="000F7A03">
            <w:pPr>
              <w:rPr>
                <w:rFonts w:ascii="ＭＳ 明朝" w:eastAsia="ＭＳ 明朝" w:hAnsi="ＭＳ 明朝"/>
                <w:szCs w:val="21"/>
              </w:rPr>
            </w:pPr>
            <w:r w:rsidRPr="00E96EF0">
              <w:rPr>
                <w:rFonts w:ascii="ＭＳ 明朝" w:eastAsia="ＭＳ 明朝" w:hAnsi="ＭＳ 明朝" w:hint="eastAsia"/>
                <w:szCs w:val="21"/>
              </w:rPr>
              <w:t>定める必要がある施設</w:t>
            </w:r>
          </w:p>
        </w:tc>
        <w:tc>
          <w:tcPr>
            <w:tcW w:w="5963" w:type="dxa"/>
          </w:tcPr>
          <w:p w14:paraId="109D2710" w14:textId="5B54BF98" w:rsidR="0003037B" w:rsidRPr="00CD58AA" w:rsidRDefault="00464C15" w:rsidP="00C3510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int="eastAsia"/>
                <w:color w:val="000000" w:themeColor="text1"/>
              </w:rPr>
              <w:t>リチウムイオン蓄電池設備</w:t>
            </w:r>
            <w:r w:rsidR="00133E41" w:rsidRPr="00AD148E">
              <w:rPr>
                <w:rFonts w:ascii="ＭＳ 明朝" w:eastAsia="ＭＳ 明朝" w:hint="eastAsia"/>
                <w:color w:val="000000" w:themeColor="text1"/>
              </w:rPr>
              <w:t>の</w:t>
            </w:r>
            <w:r w:rsidR="00133E41" w:rsidRPr="00AD148E">
              <w:rPr>
                <w:rFonts w:ascii="ＭＳ 明朝" w:eastAsia="ＭＳ 明朝"/>
                <w:color w:val="000000" w:themeColor="text1"/>
              </w:rPr>
              <w:t>遠隔</w:t>
            </w:r>
            <w:r w:rsidR="00133E41">
              <w:rPr>
                <w:rFonts w:ascii="ＭＳ 明朝" w:eastAsia="ＭＳ 明朝" w:hint="eastAsia"/>
                <w:color w:val="000000" w:themeColor="text1"/>
              </w:rPr>
              <w:t>制御</w:t>
            </w:r>
            <w:r w:rsidR="00133E41" w:rsidRPr="00AD148E">
              <w:rPr>
                <w:rFonts w:ascii="ＭＳ 明朝" w:eastAsia="ＭＳ 明朝"/>
                <w:color w:val="000000" w:themeColor="text1"/>
              </w:rPr>
              <w:t>等（</w:t>
            </w:r>
            <w:r>
              <w:rPr>
                <w:rFonts w:ascii="ＭＳ 明朝" w:eastAsia="ＭＳ 明朝" w:hint="eastAsia"/>
                <w:color w:val="000000" w:themeColor="text1"/>
              </w:rPr>
              <w:t>リチウムイオン蓄電池設備</w:t>
            </w:r>
            <w:r w:rsidR="00133E41" w:rsidRPr="00133E41">
              <w:rPr>
                <w:rFonts w:ascii="ＭＳ 明朝" w:eastAsia="ＭＳ 明朝"/>
                <w:color w:val="000000" w:themeColor="text1"/>
              </w:rPr>
              <w:t>の所在する場所</w:t>
            </w:r>
            <w:r w:rsidR="00133E41" w:rsidRPr="00133E41">
              <w:rPr>
                <w:rFonts w:ascii="ＭＳ 明朝" w:eastAsia="ＭＳ 明朝" w:hint="eastAsia"/>
                <w:color w:val="000000" w:themeColor="text1"/>
              </w:rPr>
              <w:t>以外</w:t>
            </w:r>
            <w:r w:rsidR="00133E41" w:rsidRPr="00133E41">
              <w:rPr>
                <w:rFonts w:ascii="ＭＳ 明朝" w:eastAsia="ＭＳ 明朝"/>
                <w:color w:val="000000" w:themeColor="text1"/>
              </w:rPr>
              <w:t>の場所</w:t>
            </w:r>
            <w:r w:rsidR="00133E41" w:rsidRPr="00AD148E">
              <w:rPr>
                <w:rFonts w:ascii="ＭＳ 明朝" w:eastAsia="ＭＳ 明朝"/>
                <w:color w:val="000000" w:themeColor="text1"/>
              </w:rPr>
              <w:t>において人が監視、制御等</w:t>
            </w:r>
            <w:r w:rsidR="00133E41" w:rsidRPr="00AD148E">
              <w:rPr>
                <w:rFonts w:ascii="ＭＳ 明朝" w:eastAsia="ＭＳ 明朝" w:hint="eastAsia"/>
                <w:color w:val="000000" w:themeColor="text1"/>
              </w:rPr>
              <w:t>することを</w:t>
            </w:r>
            <w:r w:rsidR="00133E41" w:rsidRPr="00AD148E">
              <w:rPr>
                <w:rFonts w:ascii="ＭＳ 明朝" w:eastAsia="ＭＳ 明朝"/>
                <w:color w:val="000000" w:themeColor="text1"/>
              </w:rPr>
              <w:t>いう。以下同じ。）を行う</w:t>
            </w:r>
            <w:r w:rsidR="00133E41" w:rsidRPr="00AD148E">
              <w:rPr>
                <w:rFonts w:ascii="ＭＳ 明朝" w:eastAsia="ＭＳ 明朝" w:hint="eastAsia"/>
                <w:color w:val="000000" w:themeColor="text1"/>
              </w:rPr>
              <w:t>一般</w:t>
            </w:r>
            <w:r w:rsidR="00133E41" w:rsidRPr="00AD148E">
              <w:rPr>
                <w:rFonts w:ascii="ＭＳ 明朝" w:eastAsia="ＭＳ 明朝"/>
                <w:color w:val="000000" w:themeColor="text1"/>
              </w:rPr>
              <w:t>取扱所</w:t>
            </w:r>
          </w:p>
        </w:tc>
      </w:tr>
    </w:tbl>
    <w:p w14:paraId="5841D380" w14:textId="77777777" w:rsidR="0003037B" w:rsidRPr="00E96EF0" w:rsidRDefault="0003037B" w:rsidP="0003037B">
      <w:pPr>
        <w:rPr>
          <w:rFonts w:hAnsi="ＭＳ 明朝"/>
          <w:szCs w:val="21"/>
        </w:rPr>
      </w:pPr>
    </w:p>
    <w:p w14:paraId="705BC152" w14:textId="77777777" w:rsidR="0003037B" w:rsidRPr="00CD1DED" w:rsidRDefault="0003037B" w:rsidP="0003037B">
      <w:pPr>
        <w:rPr>
          <w:rFonts w:hAnsi="ＭＳ 明朝"/>
          <w:szCs w:val="21"/>
        </w:rPr>
      </w:pPr>
      <w:r w:rsidRPr="00CD1DED">
        <w:rPr>
          <w:rFonts w:hAnsi="ＭＳ 明朝" w:hint="eastAsia"/>
          <w:szCs w:val="21"/>
        </w:rPr>
        <w:t>第１　総則</w:t>
      </w:r>
    </w:p>
    <w:p w14:paraId="0B144F3E" w14:textId="5A55844A" w:rsidR="0003037B" w:rsidRPr="00CD1DED" w:rsidRDefault="0003037B" w:rsidP="0003037B">
      <w:pPr>
        <w:ind w:firstLineChars="100" w:firstLine="210"/>
        <w:rPr>
          <w:rFonts w:hAnsi="ＭＳ 明朝"/>
          <w:szCs w:val="21"/>
        </w:rPr>
      </w:pPr>
      <w:r w:rsidRPr="00CD1DED">
        <w:rPr>
          <w:rFonts w:hAnsi="ＭＳ 明朝" w:hint="eastAsia"/>
          <w:szCs w:val="21"/>
        </w:rPr>
        <w:t>当所の</w:t>
      </w:r>
      <w:r w:rsidR="00464C15">
        <w:rPr>
          <w:rFonts w:hAnsi="ＭＳ 明朝" w:hint="eastAsia"/>
          <w:szCs w:val="21"/>
        </w:rPr>
        <w:t>リチウムイオン蓄電池設備</w:t>
      </w:r>
      <w:r w:rsidRPr="00CD1DED">
        <w:rPr>
          <w:rFonts w:hAnsi="ＭＳ 明朝" w:hint="eastAsia"/>
          <w:szCs w:val="21"/>
        </w:rPr>
        <w:t>の</w:t>
      </w:r>
      <w:r w:rsidR="00785753">
        <w:rPr>
          <w:rFonts w:hAnsi="ＭＳ 明朝" w:hint="eastAsia"/>
          <w:szCs w:val="21"/>
        </w:rPr>
        <w:t>遠隔制御</w:t>
      </w:r>
      <w:r w:rsidR="00CD58AA">
        <w:rPr>
          <w:rFonts w:hAnsi="ＭＳ 明朝" w:hint="eastAsia"/>
          <w:szCs w:val="21"/>
        </w:rPr>
        <w:t>等</w:t>
      </w:r>
      <w:r w:rsidRPr="00CD1DED">
        <w:rPr>
          <w:rFonts w:hAnsi="ＭＳ 明朝" w:hint="eastAsia"/>
          <w:szCs w:val="21"/>
        </w:rPr>
        <w:t>は、本編及び関係する細則によるほか、第２で定める「</w:t>
      </w:r>
      <w:r w:rsidR="00464C15">
        <w:rPr>
          <w:rFonts w:hAnsi="ＭＳ 明朝" w:hint="eastAsia"/>
          <w:szCs w:val="21"/>
        </w:rPr>
        <w:t>リチウムイオン蓄電池設備</w:t>
      </w:r>
      <w:r w:rsidRPr="00CD1DED">
        <w:rPr>
          <w:rFonts w:hAnsi="ＭＳ 明朝" w:hint="eastAsia"/>
          <w:szCs w:val="21"/>
        </w:rPr>
        <w:t>の</w:t>
      </w:r>
      <w:r w:rsidR="00785753">
        <w:rPr>
          <w:rFonts w:hAnsi="ＭＳ 明朝" w:hint="eastAsia"/>
          <w:szCs w:val="21"/>
        </w:rPr>
        <w:t>遠隔制御</w:t>
      </w:r>
      <w:r w:rsidR="00CD58AA">
        <w:rPr>
          <w:rFonts w:hAnsi="ＭＳ 明朝" w:hint="eastAsia"/>
          <w:szCs w:val="21"/>
        </w:rPr>
        <w:t>等</w:t>
      </w:r>
      <w:r w:rsidRPr="00CD1DED">
        <w:rPr>
          <w:rFonts w:hAnsi="ＭＳ 明朝" w:hint="eastAsia"/>
          <w:szCs w:val="21"/>
        </w:rPr>
        <w:t>に</w:t>
      </w:r>
      <w:r w:rsidR="0037129B" w:rsidRPr="00CD1DED">
        <w:rPr>
          <w:rFonts w:hAnsi="ＭＳ 明朝" w:hint="eastAsia"/>
          <w:szCs w:val="21"/>
        </w:rPr>
        <w:t>係る</w:t>
      </w:r>
      <w:r w:rsidRPr="00CD1DED">
        <w:rPr>
          <w:rFonts w:hAnsi="ＭＳ 明朝" w:hint="eastAsia"/>
          <w:szCs w:val="21"/>
        </w:rPr>
        <w:t>基準」に基づき行うものとする。</w:t>
      </w:r>
    </w:p>
    <w:p w14:paraId="2530B918" w14:textId="77777777" w:rsidR="0003037B" w:rsidRPr="00CD1DED" w:rsidRDefault="0003037B" w:rsidP="0003037B">
      <w:pPr>
        <w:rPr>
          <w:rFonts w:hAnsi="ＭＳ 明朝"/>
          <w:szCs w:val="21"/>
        </w:rPr>
      </w:pPr>
    </w:p>
    <w:p w14:paraId="2439070E" w14:textId="77777777" w:rsidR="00215746" w:rsidRPr="00CD1DED" w:rsidRDefault="00215746" w:rsidP="00215746">
      <w:pPr>
        <w:rPr>
          <w:rFonts w:hAnsi="ＭＳ 明朝"/>
          <w:szCs w:val="21"/>
        </w:rPr>
      </w:pPr>
      <w:r w:rsidRPr="00CD1DED">
        <w:rPr>
          <w:rFonts w:hAnsi="ＭＳ 明朝" w:hint="eastAsia"/>
          <w:szCs w:val="21"/>
        </w:rPr>
        <w:t xml:space="preserve">第２　</w:t>
      </w:r>
      <w:r>
        <w:rPr>
          <w:rFonts w:hAnsi="ＭＳ 明朝" w:hint="eastAsia"/>
          <w:szCs w:val="21"/>
        </w:rPr>
        <w:t>リチウムイオン蓄電池設備</w:t>
      </w:r>
      <w:r w:rsidRPr="00CD1DED">
        <w:rPr>
          <w:rFonts w:hAnsi="ＭＳ 明朝" w:hint="eastAsia"/>
          <w:szCs w:val="21"/>
        </w:rPr>
        <w:t>の</w:t>
      </w:r>
      <w:r>
        <w:rPr>
          <w:rFonts w:hAnsi="ＭＳ 明朝" w:hint="eastAsia"/>
          <w:szCs w:val="21"/>
        </w:rPr>
        <w:t>遠隔制御等</w:t>
      </w:r>
      <w:r w:rsidRPr="00CD1DED">
        <w:rPr>
          <w:rFonts w:hAnsi="ＭＳ 明朝" w:hint="eastAsia"/>
          <w:szCs w:val="21"/>
        </w:rPr>
        <w:t>に係る基準</w:t>
      </w:r>
    </w:p>
    <w:p w14:paraId="3AD05EE8" w14:textId="77777777" w:rsidR="00215746" w:rsidRPr="00C4344F" w:rsidRDefault="00215746" w:rsidP="00215746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</w:t>
      </w:r>
      <w:r w:rsidRPr="00C4344F">
        <w:rPr>
          <w:rFonts w:hAnsi="ＭＳ 明朝" w:hint="eastAsia"/>
          <w:szCs w:val="21"/>
        </w:rPr>
        <w:t xml:space="preserve">　所長は、</w:t>
      </w:r>
      <w:r>
        <w:rPr>
          <w:rFonts w:hAnsi="ＭＳ 明朝" w:hint="eastAsia"/>
          <w:szCs w:val="21"/>
        </w:rPr>
        <w:t>リチウムイオン蓄電池設備</w:t>
      </w:r>
      <w:r w:rsidRPr="00C4344F">
        <w:rPr>
          <w:rFonts w:hAnsi="ＭＳ 明朝" w:hint="eastAsia"/>
          <w:szCs w:val="21"/>
        </w:rPr>
        <w:t>の遠隔制御等を危険物取扱者に行わせるか、危険物取扱者の立ち合いのもと行わせるものとする。</w:t>
      </w:r>
    </w:p>
    <w:p w14:paraId="66D5B44F" w14:textId="77777777" w:rsidR="00215746" w:rsidRPr="00C4344F" w:rsidRDefault="00215746" w:rsidP="00215746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２</w:t>
      </w:r>
      <w:r w:rsidRPr="00CD58AA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リチウムイオン蓄電池設備</w:t>
      </w:r>
      <w:r w:rsidRPr="00CD58AA">
        <w:rPr>
          <w:rFonts w:hAnsi="ＭＳ 明朝" w:hint="eastAsia"/>
          <w:szCs w:val="21"/>
        </w:rPr>
        <w:t>の</w:t>
      </w:r>
      <w:r>
        <w:rPr>
          <w:rFonts w:hAnsiTheme="minorEastAsia" w:hint="eastAsia"/>
          <w:color w:val="000000" w:themeColor="text1"/>
          <w:szCs w:val="21"/>
        </w:rPr>
        <w:t>遠隔制御</w:t>
      </w:r>
      <w:r w:rsidRPr="00C4344F">
        <w:rPr>
          <w:rFonts w:hAnsiTheme="minorEastAsia" w:hint="eastAsia"/>
          <w:szCs w:val="21"/>
        </w:rPr>
        <w:t>等</w:t>
      </w:r>
      <w:r w:rsidRPr="00C4344F">
        <w:rPr>
          <w:rFonts w:hAnsi="ＭＳ 明朝" w:hint="eastAsia"/>
          <w:szCs w:val="21"/>
        </w:rPr>
        <w:t>は、</w:t>
      </w:r>
      <w:r w:rsidRPr="00800AAB">
        <w:rPr>
          <w:rFonts w:hAnsi="ＭＳ 明朝" w:hint="eastAsia"/>
          <w:color w:val="FF0000"/>
          <w:szCs w:val="21"/>
          <w:u w:val="single"/>
        </w:rPr>
        <w:t>●●監視センター（東京都千代田区大手町-●-●）</w:t>
      </w:r>
      <w:r w:rsidRPr="00C4344F">
        <w:rPr>
          <w:rFonts w:hAnsi="ＭＳ 明朝" w:hint="eastAsia"/>
          <w:szCs w:val="21"/>
        </w:rPr>
        <w:t>で行うものとする。</w:t>
      </w:r>
    </w:p>
    <w:p w14:paraId="2F732639" w14:textId="77777777" w:rsidR="00215746" w:rsidRPr="00C4344F" w:rsidRDefault="00215746" w:rsidP="00215746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</w:t>
      </w:r>
      <w:r w:rsidRPr="00C4344F">
        <w:rPr>
          <w:rFonts w:hAnsi="ＭＳ 明朝" w:hint="eastAsia"/>
          <w:szCs w:val="21"/>
        </w:rPr>
        <w:t xml:space="preserve">　所長は、</w:t>
      </w:r>
      <w:r>
        <w:rPr>
          <w:rFonts w:hAnsi="ＭＳ 明朝" w:hint="eastAsia"/>
          <w:szCs w:val="21"/>
        </w:rPr>
        <w:t>リチウムイオン蓄電池設備</w:t>
      </w:r>
      <w:r w:rsidRPr="00C4344F">
        <w:rPr>
          <w:rFonts w:hAnsi="ＭＳ 明朝" w:hint="eastAsia"/>
          <w:szCs w:val="21"/>
        </w:rPr>
        <w:t>の</w:t>
      </w:r>
      <w:r w:rsidRPr="00C4344F">
        <w:rPr>
          <w:rFonts w:hAnsiTheme="minorEastAsia" w:hint="eastAsia"/>
          <w:szCs w:val="21"/>
        </w:rPr>
        <w:t>遠隔制御等</w:t>
      </w:r>
      <w:r w:rsidRPr="00C4344F">
        <w:rPr>
          <w:rFonts w:hAnsi="ＭＳ 明朝" w:hint="eastAsia"/>
          <w:szCs w:val="21"/>
        </w:rPr>
        <w:t>を行うために必要な実施基準を整備するとともに、実施基準に基づき</w:t>
      </w:r>
      <w:r w:rsidRPr="00C4344F">
        <w:rPr>
          <w:rFonts w:hAnsiTheme="minorEastAsia" w:hint="eastAsia"/>
          <w:szCs w:val="21"/>
        </w:rPr>
        <w:t>遠隔制御等</w:t>
      </w:r>
      <w:r w:rsidRPr="00C4344F">
        <w:rPr>
          <w:rFonts w:hAnsi="ＭＳ 明朝" w:hint="eastAsia"/>
          <w:szCs w:val="21"/>
        </w:rPr>
        <w:t>が適正に行われる体制を確保するものとする。</w:t>
      </w:r>
    </w:p>
    <w:p w14:paraId="6F8E2548" w14:textId="77777777" w:rsidR="00215746" w:rsidRPr="00C4344F" w:rsidRDefault="00215746" w:rsidP="00215746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</w:t>
      </w:r>
      <w:r w:rsidRPr="00C4344F">
        <w:rPr>
          <w:rFonts w:hAnsi="ＭＳ 明朝" w:hint="eastAsia"/>
          <w:szCs w:val="21"/>
        </w:rPr>
        <w:t xml:space="preserve">　所長は、</w:t>
      </w:r>
      <w:r>
        <w:rPr>
          <w:rFonts w:hAnsi="ＭＳ 明朝" w:hint="eastAsia"/>
          <w:szCs w:val="21"/>
        </w:rPr>
        <w:t>リチウムイオン蓄電池設備</w:t>
      </w:r>
      <w:r w:rsidRPr="00C4344F">
        <w:rPr>
          <w:rFonts w:hAnsi="ＭＳ 明朝" w:hint="eastAsia"/>
          <w:szCs w:val="21"/>
        </w:rPr>
        <w:t>で火災等が発生した場合の連絡体制（消防機関への通報を含む）及び対応体制を確保するものとする。</w:t>
      </w:r>
    </w:p>
    <w:p w14:paraId="3B392D6C" w14:textId="77777777" w:rsidR="00215746" w:rsidRPr="00800AAB" w:rsidRDefault="00215746" w:rsidP="00215746">
      <w:pPr>
        <w:ind w:left="210" w:hangingChars="100" w:hanging="210"/>
        <w:rPr>
          <w:rFonts w:hAnsi="ＭＳ 明朝"/>
          <w:szCs w:val="21"/>
          <w:u w:val="single"/>
        </w:rPr>
      </w:pPr>
      <w:r w:rsidRPr="00800AAB">
        <w:rPr>
          <w:rFonts w:hAnsi="ＭＳ 明朝" w:hint="eastAsia"/>
          <w:color w:val="0070C0"/>
          <w:szCs w:val="21"/>
          <w:u w:val="single"/>
        </w:rPr>
        <w:t>５　そ</w:t>
      </w:r>
      <w:bookmarkStart w:id="0" w:name="_GoBack"/>
      <w:bookmarkEnd w:id="0"/>
      <w:r w:rsidRPr="00800AAB">
        <w:rPr>
          <w:rFonts w:hAnsi="ＭＳ 明朝" w:hint="eastAsia"/>
          <w:color w:val="0070C0"/>
          <w:szCs w:val="21"/>
          <w:u w:val="single"/>
        </w:rPr>
        <w:t>の他</w:t>
      </w:r>
    </w:p>
    <w:p w14:paraId="60BC0B0F" w14:textId="17AEB3EB" w:rsidR="00CD58AA" w:rsidRPr="00534B8E" w:rsidRDefault="00CD58AA" w:rsidP="00215746">
      <w:pPr>
        <w:rPr>
          <w:rFonts w:hAnsi="ＭＳ 明朝"/>
          <w:color w:val="5B9BD5" w:themeColor="accent1"/>
          <w:szCs w:val="21"/>
          <w:u w:val="single"/>
        </w:rPr>
      </w:pPr>
    </w:p>
    <w:sectPr w:rsidR="00CD58AA" w:rsidRPr="00534B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143CF" w14:textId="77777777" w:rsidR="003F0B9D" w:rsidRDefault="003F0B9D" w:rsidP="00C5293F">
      <w:r>
        <w:separator/>
      </w:r>
    </w:p>
  </w:endnote>
  <w:endnote w:type="continuationSeparator" w:id="0">
    <w:p w14:paraId="0F306697" w14:textId="77777777" w:rsidR="003F0B9D" w:rsidRDefault="003F0B9D" w:rsidP="00C5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CE9FB" w14:textId="77777777" w:rsidR="003F0B9D" w:rsidRDefault="003F0B9D" w:rsidP="00C5293F">
      <w:r>
        <w:separator/>
      </w:r>
    </w:p>
  </w:footnote>
  <w:footnote w:type="continuationSeparator" w:id="0">
    <w:p w14:paraId="32A504F6" w14:textId="77777777" w:rsidR="003F0B9D" w:rsidRDefault="003F0B9D" w:rsidP="00C52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37B"/>
    <w:rsid w:val="00025862"/>
    <w:rsid w:val="0003037B"/>
    <w:rsid w:val="00033939"/>
    <w:rsid w:val="00043664"/>
    <w:rsid w:val="0005143E"/>
    <w:rsid w:val="00060C22"/>
    <w:rsid w:val="00093865"/>
    <w:rsid w:val="000A28C9"/>
    <w:rsid w:val="000B2413"/>
    <w:rsid w:val="000C7AA1"/>
    <w:rsid w:val="000F42E7"/>
    <w:rsid w:val="000F47A4"/>
    <w:rsid w:val="00100A33"/>
    <w:rsid w:val="00133E41"/>
    <w:rsid w:val="0014634B"/>
    <w:rsid w:val="00154801"/>
    <w:rsid w:val="001871EF"/>
    <w:rsid w:val="001B0B23"/>
    <w:rsid w:val="001B32EC"/>
    <w:rsid w:val="001F790F"/>
    <w:rsid w:val="00215746"/>
    <w:rsid w:val="0023308F"/>
    <w:rsid w:val="0023786B"/>
    <w:rsid w:val="0024431F"/>
    <w:rsid w:val="00245407"/>
    <w:rsid w:val="002A2118"/>
    <w:rsid w:val="002D6464"/>
    <w:rsid w:val="0037129B"/>
    <w:rsid w:val="003B3AF4"/>
    <w:rsid w:val="003B6650"/>
    <w:rsid w:val="003F0B9D"/>
    <w:rsid w:val="00464C15"/>
    <w:rsid w:val="00473065"/>
    <w:rsid w:val="0048505E"/>
    <w:rsid w:val="004A3748"/>
    <w:rsid w:val="00511493"/>
    <w:rsid w:val="00534B8E"/>
    <w:rsid w:val="00543610"/>
    <w:rsid w:val="005473A3"/>
    <w:rsid w:val="0057287A"/>
    <w:rsid w:val="00573D72"/>
    <w:rsid w:val="005A03A7"/>
    <w:rsid w:val="005A767C"/>
    <w:rsid w:val="005E7A05"/>
    <w:rsid w:val="006211CD"/>
    <w:rsid w:val="0064078B"/>
    <w:rsid w:val="006E34AE"/>
    <w:rsid w:val="00735EF9"/>
    <w:rsid w:val="00776078"/>
    <w:rsid w:val="00781A1B"/>
    <w:rsid w:val="00785753"/>
    <w:rsid w:val="00797B5F"/>
    <w:rsid w:val="007C23F0"/>
    <w:rsid w:val="007F527D"/>
    <w:rsid w:val="0080278D"/>
    <w:rsid w:val="00822238"/>
    <w:rsid w:val="00823488"/>
    <w:rsid w:val="008965DA"/>
    <w:rsid w:val="008F193A"/>
    <w:rsid w:val="009302B6"/>
    <w:rsid w:val="00932402"/>
    <w:rsid w:val="009324AF"/>
    <w:rsid w:val="00941C10"/>
    <w:rsid w:val="0097259B"/>
    <w:rsid w:val="009762D3"/>
    <w:rsid w:val="009C4AD3"/>
    <w:rsid w:val="009D3357"/>
    <w:rsid w:val="009D5347"/>
    <w:rsid w:val="00A01527"/>
    <w:rsid w:val="00A30368"/>
    <w:rsid w:val="00AA24C1"/>
    <w:rsid w:val="00B36F55"/>
    <w:rsid w:val="00B531A8"/>
    <w:rsid w:val="00B552C1"/>
    <w:rsid w:val="00B85062"/>
    <w:rsid w:val="00C01D96"/>
    <w:rsid w:val="00C10FD7"/>
    <w:rsid w:val="00C275A7"/>
    <w:rsid w:val="00C35109"/>
    <w:rsid w:val="00C5230A"/>
    <w:rsid w:val="00C5293F"/>
    <w:rsid w:val="00C66F24"/>
    <w:rsid w:val="00C97F04"/>
    <w:rsid w:val="00CD1DED"/>
    <w:rsid w:val="00CD58AA"/>
    <w:rsid w:val="00D43AAD"/>
    <w:rsid w:val="00DC05C9"/>
    <w:rsid w:val="00E13EA9"/>
    <w:rsid w:val="00E82FEB"/>
    <w:rsid w:val="00E913BC"/>
    <w:rsid w:val="00E96EF0"/>
    <w:rsid w:val="00EB403D"/>
    <w:rsid w:val="00F0367A"/>
    <w:rsid w:val="00F37D5C"/>
    <w:rsid w:val="00F4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8E72D99"/>
  <w15:chartTrackingRefBased/>
  <w15:docId w15:val="{0F74442C-0CD9-4C2A-A3B9-DF6EAD07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3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037B"/>
    <w:rPr>
      <w:rFonts w:asciiTheme="minorEastAsia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qFormat/>
    <w:rsid w:val="0003037B"/>
    <w:pPr>
      <w:ind w:left="210" w:hangingChars="100" w:hanging="210"/>
      <w:jc w:val="left"/>
    </w:pPr>
    <w:rPr>
      <w:rFonts w:asciiTheme="minorHAnsi"/>
      <w:kern w:val="0"/>
    </w:rPr>
  </w:style>
  <w:style w:type="character" w:customStyle="1" w:styleId="a5">
    <w:name w:val="コメント文字列 (文字)"/>
    <w:basedOn w:val="a0"/>
    <w:link w:val="a4"/>
    <w:uiPriority w:val="99"/>
    <w:qFormat/>
    <w:rsid w:val="0003037B"/>
    <w:rPr>
      <w:rFonts w:asciiTheme="minorHAnsi" w:eastAsiaTheme="minorEastAsia"/>
      <w:kern w:val="0"/>
    </w:rPr>
  </w:style>
  <w:style w:type="character" w:styleId="a6">
    <w:name w:val="annotation reference"/>
    <w:basedOn w:val="a0"/>
    <w:uiPriority w:val="99"/>
    <w:unhideWhenUsed/>
    <w:qFormat/>
    <w:rsid w:val="0003037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30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037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529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5293F"/>
    <w:rPr>
      <w:rFonts w:asciiTheme="minorEastAsia" w:eastAsiaTheme="minorEastAsia"/>
    </w:rPr>
  </w:style>
  <w:style w:type="paragraph" w:styleId="ab">
    <w:name w:val="footer"/>
    <w:basedOn w:val="a"/>
    <w:link w:val="ac"/>
    <w:uiPriority w:val="99"/>
    <w:unhideWhenUsed/>
    <w:rsid w:val="00C529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5293F"/>
    <w:rPr>
      <w:rFonts w:asciiTheme="minorEastAsia" w:eastAsiaTheme="minorEastAsia"/>
    </w:rPr>
  </w:style>
  <w:style w:type="paragraph" w:styleId="ad">
    <w:name w:val="annotation subject"/>
    <w:basedOn w:val="a4"/>
    <w:next w:val="a4"/>
    <w:link w:val="ae"/>
    <w:uiPriority w:val="99"/>
    <w:semiHidden/>
    <w:unhideWhenUsed/>
    <w:rsid w:val="00C5293F"/>
    <w:pPr>
      <w:ind w:left="0" w:firstLineChars="0" w:firstLine="0"/>
    </w:pPr>
    <w:rPr>
      <w:rFonts w:asciiTheme="minorEastAsia"/>
      <w:b/>
      <w:bCs/>
      <w:kern w:val="2"/>
    </w:rPr>
  </w:style>
  <w:style w:type="character" w:customStyle="1" w:styleId="ae">
    <w:name w:val="コメント内容 (文字)"/>
    <w:basedOn w:val="a5"/>
    <w:link w:val="ad"/>
    <w:uiPriority w:val="99"/>
    <w:semiHidden/>
    <w:rsid w:val="00C5293F"/>
    <w:rPr>
      <w:rFonts w:asciiTheme="minorEastAsia" w:eastAsiaTheme="minorEastAsia"/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